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E90" w:rsidRDefault="00EC0E90">
      <w:pPr>
        <w:pStyle w:val="a7"/>
      </w:pPr>
    </w:p>
    <w:p w:rsidR="00EC0E90" w:rsidRDefault="00EC0E90">
      <w:pPr>
        <w:ind w:firstLine="640"/>
      </w:pPr>
    </w:p>
    <w:p w:rsidR="00EC0E90" w:rsidRDefault="00807B46">
      <w:pPr>
        <w:snapToGrid w:val="0"/>
        <w:spacing w:before="240" w:afterLines="30" w:after="93" w:line="360" w:lineRule="auto"/>
        <w:ind w:firstLineChars="0" w:firstLine="0"/>
        <w:jc w:val="center"/>
        <w:rPr>
          <w:rFonts w:ascii="方正黑体简体" w:eastAsia="方正黑体简体" w:hAnsi="Calibri"/>
          <w:color w:val="auto"/>
          <w:kern w:val="2"/>
          <w:sz w:val="36"/>
          <w:szCs w:val="22"/>
        </w:rPr>
      </w:pPr>
      <w:r w:rsidRPr="00B32895">
        <w:rPr>
          <w:rFonts w:ascii="方正黑体简体" w:eastAsia="方正黑体简体" w:hAnsi="Calibri" w:hint="eastAsia"/>
          <w:color w:val="auto"/>
          <w:kern w:val="2"/>
          <w:sz w:val="36"/>
          <w:szCs w:val="22"/>
          <w:u w:val="single"/>
        </w:rPr>
        <w:t>南银理财珠联璧合鑫逸稳半年166期封闭式公募人民币理财产品</w:t>
      </w:r>
      <w:r w:rsidR="009135C4">
        <w:rPr>
          <w:rFonts w:ascii="方正黑体简体" w:eastAsia="方正黑体简体" w:hAnsi="Calibri" w:hint="eastAsia"/>
          <w:color w:val="auto"/>
          <w:kern w:val="2"/>
          <w:sz w:val="36"/>
          <w:szCs w:val="22"/>
        </w:rPr>
        <w:t>到期公告</w:t>
      </w:r>
    </w:p>
    <w:p w:rsidR="00EC0E90" w:rsidRPr="00807B46" w:rsidRDefault="00EC0E90">
      <w:pPr>
        <w:ind w:firstLine="640"/>
      </w:pPr>
      <w:bookmarkStart w:id="0" w:name="_GoBack"/>
      <w:bookmarkEnd w:id="0"/>
    </w:p>
    <w:p w:rsidR="00EC0E90" w:rsidRDefault="009135C4">
      <w:pPr>
        <w:spacing w:beforeLines="20" w:before="62" w:afterLines="20" w:after="62" w:line="240" w:lineRule="auto"/>
        <w:ind w:firstLineChars="0" w:firstLine="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尊敬的投资者：</w:t>
      </w:r>
    </w:p>
    <w:p w:rsidR="00EC0E90" w:rsidRDefault="009135C4">
      <w:pPr>
        <w:spacing w:beforeLines="20" w:before="62" w:afterLines="20" w:after="62" w:line="240" w:lineRule="auto"/>
        <w:ind w:firstLine="480"/>
        <w:jc w:val="left"/>
        <w:rPr>
          <w:rFonts w:ascii="方正仿宋简体" w:eastAsia="方正仿宋简体" w:hAnsi="Times New Roman"/>
          <w:color w:val="auto"/>
          <w:kern w:val="2"/>
          <w:sz w:val="24"/>
          <w:szCs w:val="24"/>
        </w:rPr>
      </w:pP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本公司发行的</w:t>
      </w:r>
      <w:r w:rsidR="00807B46" w:rsidRPr="00B32895">
        <w:rPr>
          <w:rFonts w:ascii="方正仿宋简体" w:eastAsia="方正仿宋简体" w:hAnsi="Times New Roman" w:hint="eastAsia"/>
          <w:color w:val="auto"/>
          <w:kern w:val="2"/>
          <w:sz w:val="24"/>
          <w:szCs w:val="24"/>
          <w:u w:val="single"/>
        </w:rPr>
        <w:t>南银理财珠联璧合鑫逸稳半年166期封闭式公募人民币理财产品</w:t>
      </w:r>
      <w:r>
        <w:rPr>
          <w:rFonts w:ascii="方正仿宋简体" w:eastAsia="方正仿宋简体" w:hAnsi="Times New Roman" w:hint="eastAsia"/>
          <w:color w:val="auto"/>
          <w:kern w:val="2"/>
          <w:sz w:val="24"/>
          <w:szCs w:val="24"/>
        </w:rPr>
        <w:t>已到期，现将相关信息公告如下：</w:t>
      </w:r>
    </w:p>
    <w:p w:rsidR="00EC0E90" w:rsidRDefault="00EC0E90">
      <w:pPr>
        <w:ind w:firstLine="640"/>
      </w:pPr>
    </w:p>
    <w:tbl>
      <w:tblPr>
        <w:tblW w:w="49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9"/>
        <w:gridCol w:w="1963"/>
        <w:gridCol w:w="1930"/>
        <w:gridCol w:w="2955"/>
      </w:tblGrid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产品名称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南银理财珠联璧合鑫逸稳半年166期封闭式公募人民币理财产品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产品代码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ZZ700322600029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产品登记编码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Z7003226000083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（可在中国</w:t>
            </w:r>
            <w:proofErr w:type="gramStart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理财网</w:t>
            </w:r>
            <w:proofErr w:type="gramEnd"/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www.chinawealth.com.cn查询产品信息）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产品成立日期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2026年03月11日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产品终止日期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2026年09月23日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存续期限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196天</w:t>
            </w:r>
          </w:p>
        </w:tc>
      </w:tr>
      <w:tr w:rsidR="00EC0E90">
        <w:tc>
          <w:tcPr>
            <w:tcW w:w="3264" w:type="pct"/>
            <w:gridSpan w:val="3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募集币种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人民币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收益分配情况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（适用于非现金管理类理财产品）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1.0103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产品终止日总份额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（适用于现金管理类理财产品）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  <w:vMerge w:val="restar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主要收费情况</w:t>
            </w: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固定管理费总额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298,784.64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浮动管理费总额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53,889.15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托管费总额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40,005.78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Merge/>
            <w:vAlign w:val="center"/>
          </w:tcPr>
          <w:p w:rsidR="00EC0E90" w:rsidRDefault="00EC0E90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 w:hAnsi="黑体" w:cs="黑体"/>
                <w:sz w:val="24"/>
                <w:szCs w:val="24"/>
              </w:rPr>
            </w:pPr>
          </w:p>
        </w:tc>
        <w:tc>
          <w:tcPr>
            <w:tcW w:w="2285" w:type="pct"/>
            <w:gridSpan w:val="2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销售服务费总额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>306,597.30</w:t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元</w:t>
            </w:r>
          </w:p>
        </w:tc>
      </w:tr>
      <w:tr w:rsidR="00EC0E90">
        <w:tc>
          <w:tcPr>
            <w:tcW w:w="979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份额代码</w:t>
            </w:r>
          </w:p>
        </w:tc>
        <w:tc>
          <w:tcPr>
            <w:tcW w:w="1152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133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份额累计净值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非现金管理类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  <w:tc>
          <w:tcPr>
            <w:tcW w:w="1735" w:type="pct"/>
            <w:vAlign w:val="center"/>
          </w:tcPr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终止日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总份额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（适用于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 w:hAnsi="黑体" w:cs="黑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现金管理类</w:t>
            </w:r>
          </w:p>
          <w:p w:rsidR="00EC0E90" w:rsidRDefault="009135C4">
            <w:pPr>
              <w:widowControl/>
              <w:spacing w:line="300" w:lineRule="auto"/>
              <w:ind w:firstLineChars="0" w:firstLine="0"/>
              <w:jc w:val="center"/>
              <w:textAlignment w:val="top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hAnsi="黑体" w:cs="黑体" w:hint="eastAsia"/>
                <w:sz w:val="24"/>
                <w:szCs w:val="24"/>
              </w:rPr>
              <w:t>理财产品）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NYXY000110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1.0105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Y70166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Y71166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1.0104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Y72166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Y79166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1.0099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  <w:tr w:rsidR="00EC0E90">
        <w:tc>
          <w:tcPr>
            <w:tcW w:w="979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  <w:u/>
              </w:rPr>
              <w:t/>
            </w:r>
            <w:r>
              <w:rPr>
                <w:rFonts w:ascii="方正仿宋简体" w:eastAsia="方正仿宋简体" w:cs="方正仿宋简体"/>
                <w:sz w:val="24"/>
                <w:u w:color="auto"/>
              </w:rPr>
              <w:t>YH70166</w:t>
            </w:r>
          </w:p>
        </w:tc>
        <w:tc>
          <w:tcPr>
            <w:tcW w:w="1152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133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1.0109</w:t>
            </w:r>
          </w:p>
        </w:tc>
        <w:tc>
          <w:tcPr>
            <w:tcW w:w="1735" w:type="pct"/>
          </w:tcPr>
          <w:p w:rsidR="00EC0E90" w:rsidRDefault="009135C4">
            <w:pPr>
              <w:spacing w:line="300" w:lineRule="auto"/>
              <w:ind w:firstLineChars="0" w:firstLine="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eastAsia="方正仿宋简体" w:cs="仿宋_GB2312" w:hint="eastAsia"/>
                <w:sz w:val="24"/>
                <w:szCs w:val="24"/>
              </w:rPr>
              <w:t>-</w:t>
            </w:r>
          </w:p>
        </w:tc>
      </w:tr>
    </w:tbl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NYXY000110，到期日2026年09月23日；Y70166，到期日2026年09月23日；Y71166，到期日2026年09月23日；Y72166，到期日2026年09月23日；Y79166，到期日2026年09月23日；YH70166，到期日2026年09月23日。本理财产品已于终止日向客户兑付，上述终止日数据为实际兑付情况，清算资金将划转至投资者指定账户，具体到账日期以产品说明书为准。自产品终止日起，清算过程中各项利息及费用与实际结算金额的尾差（如有）由管理人承担。</w:t>
      </w:r>
    </w:p>
    <w:p w:rsidR="00EC0E90" w:rsidRDefault="009135C4">
      <w:pPr>
        <w:pStyle w:val="a8"/>
        <w:ind w:firstLineChars="0" w:firstLine="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注：1.本到期公告披露的相关净值数据已由理财产品托管人复核。</w:t>
      </w:r>
    </w:p>
    <w:p w:rsidR="00EC0E90" w:rsidRDefault="009135C4">
      <w:pPr>
        <w:pStyle w:val="a8"/>
        <w:ind w:firstLine="560"/>
        <w:rPr>
          <w:rFonts w:ascii="方正仿宋简体" w:eastAsia="方正仿宋简体" w:hint="default"/>
        </w:rPr>
      </w:pPr>
      <w:r>
        <w:rPr>
          <w:rFonts w:ascii="方正仿宋简体" w:eastAsia="方正仿宋简体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</w:t>
      </w:r>
      <w:r>
        <w:rPr>
          <w:rFonts w:ascii="方正仿宋简体" w:eastAsia="方正仿宋简体"/>
        </w:rPr>
        <w:lastRenderedPageBreak/>
        <w:t>各份额的份额净值、份额累计净值不完全一致。</w:t>
      </w:r>
    </w:p>
    <w:p w:rsidR="00EC0E90" w:rsidRDefault="00EC0E90">
      <w:pPr>
        <w:ind w:firstLine="640"/>
        <w:rPr>
          <w:rFonts w:ascii="方正仿宋简体" w:eastAsia="方正仿宋简体"/>
        </w:rPr>
      </w:pPr>
    </w:p>
    <w:p w:rsidR="00EC0E90" w:rsidRDefault="009135C4">
      <w:pPr>
        <w:ind w:firstLine="640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特此公告。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南银理财有限责任公司</w:t>
      </w:r>
    </w:p>
    <w:p w:rsidR="00EC0E90" w:rsidRDefault="009135C4">
      <w:pPr>
        <w:ind w:firstLine="640"/>
        <w:jc w:val="right"/>
        <w:rPr>
          <w:rFonts w:ascii="方正仿宋简体" w:eastAsia="方正仿宋简体"/>
        </w:rPr>
      </w:pPr>
      <w:r>
        <w:rPr>
          <w:rFonts w:ascii="方正仿宋简体" w:eastAsia="方正仿宋简体" w:hint="eastAsia"/>
        </w:rPr>
        <w:t>2026年09月23日</w:t>
      </w:r>
    </w:p>
    <w:sectPr w:rsidR="00EC0E9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7ACB" w:rsidRDefault="00057ACB">
      <w:pPr>
        <w:spacing w:line="240" w:lineRule="auto"/>
        <w:ind w:firstLine="640"/>
      </w:pPr>
      <w:r>
        <w:separator/>
      </w:r>
    </w:p>
  </w:endnote>
  <w:end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160005" w:csb1="00000000"/>
  </w:font>
  <w:font w:name="方正黑体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7ACB" w:rsidRDefault="00057ACB">
      <w:pPr>
        <w:spacing w:line="240" w:lineRule="auto"/>
        <w:ind w:firstLine="640"/>
      </w:pPr>
      <w:r>
        <w:separator/>
      </w:r>
    </w:p>
  </w:footnote>
  <w:footnote w:type="continuationSeparator" w:id="0">
    <w:p w:rsidR="00057ACB" w:rsidRDefault="00057ACB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0E90" w:rsidRDefault="00EC0E90">
    <w:pPr>
      <w:pStyle w:val="a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E7F65"/>
    <w:rsid w:val="00057ACB"/>
    <w:rsid w:val="001F2A31"/>
    <w:rsid w:val="001F4836"/>
    <w:rsid w:val="00313900"/>
    <w:rsid w:val="0069772A"/>
    <w:rsid w:val="00760430"/>
    <w:rsid w:val="00807B46"/>
    <w:rsid w:val="009135C4"/>
    <w:rsid w:val="009215DC"/>
    <w:rsid w:val="00A273D7"/>
    <w:rsid w:val="00AE3DE4"/>
    <w:rsid w:val="00BE6C5B"/>
    <w:rsid w:val="00EC0E90"/>
    <w:rsid w:val="00FD26A3"/>
    <w:rsid w:val="00FE7F65"/>
    <w:rsid w:val="1BFD4300"/>
    <w:rsid w:val="244E7344"/>
    <w:rsid w:val="2ECA533D"/>
    <w:rsid w:val="35841A27"/>
    <w:rsid w:val="3C0513F0"/>
    <w:rsid w:val="40CF2241"/>
    <w:rsid w:val="54586380"/>
    <w:rsid w:val="62225A77"/>
    <w:rsid w:val="71E17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EF2B7E-D06B-4B3C-AE2F-B8EE028C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line="560" w:lineRule="exact"/>
      <w:ind w:firstLineChars="200" w:firstLine="720"/>
      <w:jc w:val="both"/>
    </w:pPr>
    <w:rPr>
      <w:rFonts w:ascii="仿宋_GB2312" w:eastAsia="仿宋_GB2312" w:hAnsi="仿宋_GB2312" w:cs="Times New Roman"/>
      <w:color w:val="000000"/>
      <w:sz w:val="32"/>
      <w:szCs w:val="32"/>
    </w:rPr>
  </w:style>
  <w:style w:type="paragraph" w:styleId="1">
    <w:name w:val="heading 1"/>
    <w:basedOn w:val="a"/>
    <w:next w:val="a"/>
    <w:qFormat/>
    <w:pPr>
      <w:outlineLvl w:val="0"/>
    </w:pPr>
    <w:rPr>
      <w:rFonts w:ascii="黑体" w:eastAsia="黑体" w:hAnsi="黑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rPr>
      <w:rFonts w:ascii="宋体" w:eastAsia="宋体"/>
      <w:sz w:val="18"/>
      <w:szCs w:val="18"/>
    </w:rPr>
  </w:style>
  <w:style w:type="paragraph" w:styleId="a4">
    <w:name w:val="footer"/>
    <w:basedOn w:val="a"/>
    <w:link w:val="Char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Title"/>
    <w:basedOn w:val="a"/>
    <w:next w:val="a"/>
    <w:uiPriority w:val="10"/>
    <w:qFormat/>
    <w:pPr>
      <w:spacing w:line="240" w:lineRule="auto"/>
      <w:ind w:firstLineChars="0" w:firstLine="0"/>
      <w:jc w:val="center"/>
    </w:pPr>
    <w:rPr>
      <w:rFonts w:ascii="长城小标宋体" w:eastAsia="长城小标宋体" w:hAnsi="长城小标宋体" w:cs="长城小标宋体"/>
      <w:sz w:val="44"/>
      <w:szCs w:val="44"/>
    </w:rPr>
  </w:style>
  <w:style w:type="paragraph" w:customStyle="1" w:styleId="a7">
    <w:name w:val="附件"/>
    <w:basedOn w:val="1"/>
    <w:next w:val="a"/>
    <w:qFormat/>
    <w:pPr>
      <w:ind w:firstLineChars="0" w:firstLine="0"/>
    </w:pPr>
  </w:style>
  <w:style w:type="paragraph" w:customStyle="1" w:styleId="a8">
    <w:name w:val="正文四号"/>
    <w:basedOn w:val="a"/>
    <w:qFormat/>
    <w:rPr>
      <w:rFonts w:hint="eastAsia"/>
      <w:sz w:val="28"/>
      <w:szCs w:val="28"/>
    </w:rPr>
  </w:style>
  <w:style w:type="character" w:customStyle="1" w:styleId="Char">
    <w:name w:val="文档结构图 Char"/>
    <w:basedOn w:val="a0"/>
    <w:link w:val="a3"/>
    <w:rPr>
      <w:rFonts w:ascii="宋体" w:eastAsia="宋体" w:hAnsi="仿宋_GB2312" w:cs="Times New Roman"/>
      <w:color w:val="000000"/>
      <w:sz w:val="18"/>
      <w:szCs w:val="18"/>
    </w:rPr>
  </w:style>
  <w:style w:type="character" w:customStyle="1" w:styleId="Char1">
    <w:name w:val="页眉 Char"/>
    <w:basedOn w:val="a0"/>
    <w:link w:val="a5"/>
    <w:rPr>
      <w:rFonts w:ascii="仿宋_GB2312" w:eastAsia="仿宋_GB2312" w:hAnsi="仿宋_GB2312" w:cs="Times New Roman"/>
      <w:color w:val="000000"/>
      <w:sz w:val="18"/>
      <w:szCs w:val="18"/>
    </w:rPr>
  </w:style>
  <w:style w:type="character" w:customStyle="1" w:styleId="Char0">
    <w:name w:val="页脚 Char"/>
    <w:basedOn w:val="a0"/>
    <w:link w:val="a4"/>
    <w:rPr>
      <w:rFonts w:ascii="仿宋_GB2312" w:eastAsia="仿宋_GB2312" w:hAnsi="仿宋_GB2312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3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header2.xml" Type="http://schemas.openxmlformats.org/officeDocument/2006/relationships/header"/><Relationship Id="rId8" Target="footer1.xml" Type="http://schemas.openxmlformats.org/officeDocument/2006/relationships/footer"/><Relationship Id="rId9" Target="footer2.xml" Type="http://schemas.openxmlformats.org/officeDocument/2006/relationships/footer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125</Words>
  <Characters>719</Characters>
  <Application>Microsoft Office Word</Application>
  <DocSecurity>0</DocSecurity>
  <Lines>5</Lines>
  <Paragraphs>1</Paragraphs>
  <ScaleCrop>false</ScaleCrop>
  <Company>bonj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2026-07-13T06:09:00Z</dcterms:created>
  <dc:creator>Administrator</dc:creator>
  <cp:lastModifiedBy>赵珂</cp:lastModifiedBy>
  <dcterms:modified xsi:type="dcterms:W3CDTF">2026-09-10T07:24:00Z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KSOTemplateDocerSaveRecord">
    <vt:lpwstr>eyJoZGlkIjoiNGVjMGI2NjNiY2NhZDgyYzA5MTcxNzUxOTEzMzRjMGYiLCJ1c2VySWQiOiI5MjY1NDE4MjAifQ==</vt:lpwstr>
  </property>
  <property fmtid="{D5CDD505-2E9C-101B-9397-08002B2CF9AE}" pid="4" name="ICV">
    <vt:lpwstr>0567FEA824BC40CC8C0F4CB2643A7745_12</vt:lpwstr>
  </property>
</Properties>
</file>