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MI6BU796Q06TGRQR80L0D7NLMOXPRES0XHJDWXFF8TGLTZ0BR6C0PFYSTPDIRBEM6EOZNZHJD8HXJEFFTQF8P8RMMWIWBAXOOMHB373FD18FC9CADA7A9243014E11A2B54CA" Type="http://schemas.microsoft.com/office/2006/relationships/officeDocumentMain" Target="docProps/core.xml"/><Relationship Id="SAWMI6GC79VQ0THGQZRNILJM7ZC0OSYR9E06XJDWXFB8TFWTZMBR6CJFFSUHPBIRXSM6COLJZHKD8MXJQSFTRF8H8RZ0WICBANOOMHB3852AE72129A138CCCC66340522A3D04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南银理财珠联璧合鑫逸稳一年123期封闭式公募人民币理财产品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南银理财珠联璧合鑫逸稳一年123期封闭式公募人民币理财产品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ZZ700322301501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Z7003223000125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2023年07月12日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2024年08月14日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Y30123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8,475,325.75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Y31123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15,596,800.71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Y32123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11,807,486.85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Y33123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1.0445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6,829,169.30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222,652.83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2,865,949.83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793,445.26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1,171,306.61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2024年08月14日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CQWMI6BU796Q06TGRQR80L0D7NLMOXPRES0XHJDWXFF8TGLTZ0BR6C0PFYSTPDIRBEM6EOZNZHJD8HXJEFFTQF8P8RMMWIWBAXOOMHB373FD18FC9CADA7A9243014E11A2B54CA</vt:lpwstr>
  </property>
  <property fmtid="{D5CDD505-2E9C-101B-9397-08002B2CF9AE}" pid="5" name="_KSOProductBuildSID">
    <vt:lpwstr>D4255AFACFAB43D598D06E6DA44F26D9</vt:lpwstr>
  </property>
</Properties>
</file>