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ZWMQ6GO797Q0V9GRYR8IL0D7ZD0OSYREU0XUJDWXFGRTQLTZRBJICJUFSUTPDIRBFMXHOLSZIX78PNJRJFAYFFU8RL0WH5BAEODPHB3ADA86095A4A3DD4EEB0A13B77A36E04A" Type="http://schemas.microsoft.com/office/2006/relationships/officeDocumentMain" Target="docProps/core.xml"/><Relationship Id="CQWFD6GC79TA05BGQPRNIL0J7N8MOXVR9X0XTJDWXFF8TQLT6DBR6CJFFYRTPC6RXFMXNOZGZIAD8HJJRUFTYFFW8RZMWLLBAXOOZHB3C2B23773E83B907182198F8A947EBB00"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sz w:val="24"/>
        </w:rPr>
      </w:pPr>
      <w:r>
        <w:rPr>
          <w:rFonts w:hint="eastAsia" w:ascii="方正黑体_GBK" w:hAnsi="方正黑体_GBK" w:eastAsia="方正黑体_GBK" w:cs="方正黑体_GBK"/>
          <w:b/>
          <w:sz w:val="24"/>
        </w:rPr>
        <w:t>关于调整南银理财珠联璧合鑫致远平衡三个月定开3期公募人民币理财产品</w:t>
      </w:r>
    </w:p>
    <w:p>
      <w:pPr>
        <w:jc w:val="center"/>
        <w:rPr>
          <w:rFonts w:hint="eastAsia" w:ascii="方正黑体_GBK" w:hAnsi="方正黑体_GBK" w:eastAsia="方正黑体_GBK" w:cs="方正黑体_GBK"/>
          <w:b/>
          <w:sz w:val="24"/>
          <w:lang w:eastAsia="zh-CN"/>
        </w:rPr>
      </w:pPr>
      <w:r>
        <w:rPr>
          <w:rFonts w:hint="eastAsia" w:ascii="方正黑体_GBK" w:hAnsi="方正黑体_GBK" w:eastAsia="方正黑体_GBK" w:cs="方正黑体_GBK"/>
          <w:b/>
          <w:sz w:val="24"/>
        </w:rPr>
        <w:t>（科技创新）相关要素的</w:t>
      </w:r>
      <w:r>
        <w:rPr>
          <w:rFonts w:hint="eastAsia" w:ascii="方正黑体_GBK" w:hAnsi="方正黑体_GBK" w:eastAsia="方正黑体_GBK" w:cs="方正黑体_GBK"/>
          <w:b/>
          <w:sz w:val="24"/>
          <w:lang w:val="en-US" w:eastAsia="zh-CN"/>
        </w:rPr>
        <w:t>公告</w:t>
      </w:r>
    </w:p>
    <w:p>
      <w:pPr>
        <w:spacing w:after="240" w:line="288" w:lineRule="auto"/>
        <w:ind w:firstLine="420"/>
        <w:rPr>
          <w:rFonts w:ascii="方正黑体_GBK" w:hAnsi="方正黑体_GBK" w:eastAsia="方正黑体_GBK" w:cs="方正黑体_GBK"/>
          <w:szCs w:val="21"/>
        </w:rPr>
      </w:pPr>
      <w:r>
        <w:rPr>
          <w:rFonts w:hint="eastAsia" w:ascii="方正黑体_GBK" w:hAnsi="方正黑体_GBK" w:eastAsia="方正黑体_GBK" w:cs="方正黑体_GBK"/>
          <w:szCs w:val="21"/>
        </w:rPr>
        <w:t>尊敬的投资者：</w:t>
      </w:r>
    </w:p>
    <w:p>
      <w:pPr>
        <w:spacing w:after="240" w:line="288" w:lineRule="auto"/>
        <w:ind w:firstLine="420"/>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根据理财产品说明书的相关约定，本公司将于2024年</w:t>
      </w:r>
      <w:r>
        <w:rPr>
          <w:rFonts w:hint="eastAsia" w:ascii="方正黑体_GBK" w:hAnsi="方正黑体_GBK" w:eastAsia="方正黑体_GBK" w:cs="方正黑体_GBK"/>
          <w:szCs w:val="21"/>
          <w:lang w:val="en-US" w:eastAsia="zh-CN"/>
        </w:rPr>
        <w:t>9</w:t>
      </w:r>
      <w:r>
        <w:rPr>
          <w:rFonts w:hint="eastAsia" w:ascii="方正黑体_GBK" w:hAnsi="方正黑体_GBK" w:eastAsia="方正黑体_GBK" w:cs="方正黑体_GBK"/>
          <w:szCs w:val="21"/>
        </w:rPr>
        <w:t>月2</w:t>
      </w:r>
      <w:r>
        <w:rPr>
          <w:rFonts w:hint="eastAsia" w:ascii="方正黑体_GBK" w:hAnsi="方正黑体_GBK" w:eastAsia="方正黑体_GBK" w:cs="方正黑体_GBK"/>
          <w:szCs w:val="21"/>
          <w:lang w:val="en-US" w:eastAsia="zh-CN"/>
        </w:rPr>
        <w:t>0</w:t>
      </w:r>
      <w:r>
        <w:rPr>
          <w:rFonts w:hint="eastAsia" w:ascii="方正黑体_GBK" w:hAnsi="方正黑体_GBK" w:eastAsia="方正黑体_GBK" w:cs="方正黑体_GBK"/>
          <w:szCs w:val="21"/>
        </w:rPr>
        <w:t>日起对南银理财珠联璧合鑫致远平衡三个月定开3期公募人民币理财产品（科技创新）（产品登记编码：Z7003221000145）的</w:t>
      </w:r>
      <w:r>
        <w:rPr>
          <w:rFonts w:hint="eastAsia" w:ascii="方正黑体_GBK" w:hAnsi="方正黑体_GBK" w:eastAsia="方正黑体_GBK" w:cs="方正黑体_GBK"/>
          <w:szCs w:val="21"/>
          <w:lang w:val="en-US" w:eastAsia="zh-CN"/>
        </w:rPr>
        <w:t>业绩比较基准、业绩报酬计提基准等</w:t>
      </w:r>
      <w:r>
        <w:rPr>
          <w:rFonts w:hint="eastAsia" w:ascii="方正黑体_GBK" w:hAnsi="方正黑体_GBK" w:eastAsia="方正黑体_GBK" w:cs="方正黑体_GBK"/>
          <w:szCs w:val="21"/>
        </w:rPr>
        <w:t>进行调整，内容具体如下：</w:t>
      </w:r>
    </w:p>
    <w:tbl>
      <w:tblPr>
        <w:tblStyle w:val="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134"/>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要素</w:t>
            </w:r>
          </w:p>
        </w:tc>
        <w:tc>
          <w:tcPr>
            <w:tcW w:w="4134"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优化前</w:t>
            </w:r>
          </w:p>
        </w:tc>
        <w:tc>
          <w:tcPr>
            <w:tcW w:w="4358"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优化后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bCs/>
                <w:kern w:val="0"/>
                <w:sz w:val="18"/>
                <w:szCs w:val="18"/>
                <w:lang w:eastAsia="zh-CN"/>
              </w:rPr>
              <w:t>业绩比较基准</w:t>
            </w:r>
          </w:p>
        </w:tc>
        <w:tc>
          <w:tcPr>
            <w:tcW w:w="4134" w:type="dxa"/>
            <w:vAlign w:val="center"/>
          </w:tcPr>
          <w:p>
            <w:pPr>
              <w:spacing w:line="200" w:lineRule="exact"/>
            </w:pPr>
            <w:r>
              <w:rPr>
                <w:rFonts w:ascii="方正黑体_GBK" w:eastAsia="方正黑体_GBK" w:cs="宋体"/>
                <w:sz w:val="18"/>
                <w:szCs w:val="18"/>
              </w:rPr>
              <w:t>业绩比较基准为中债新综合全价指数收益率×80% + 沪深300指数收益率×20%。</w:t>
            </w:r>
          </w:p>
          <w:p>
            <w:pPr>
              <w:spacing w:line="200" w:lineRule="exact"/>
              <w:jc w:val="left"/>
            </w:pPr>
            <w:r>
              <w:rPr>
                <w:rFonts w:ascii="方正黑体_GBK" w:eastAsia="方正黑体_GBK" w:cs="宋体"/>
                <w:sz w:val="18"/>
                <w:szCs w:val="18"/>
              </w:rPr>
              <w:t>注：</w:t>
            </w:r>
          </w:p>
          <w:p>
            <w:pPr>
              <w:spacing w:line="200" w:lineRule="exact"/>
              <w:jc w:val="left"/>
            </w:pPr>
            <w:r>
              <w:rPr>
                <w:rFonts w:ascii="方正黑体_GBK" w:eastAsia="方正黑体_GBK" w:cs="宋体"/>
                <w:sz w:val="18"/>
                <w:szCs w:val="18"/>
              </w:rPr>
              <w:t>1.中债新综合全价指数为中央国债登记结算有限责任公司发布的债券指数，投资者可登陆中国债券信息网查询；沪深300指数为中证指数有限公司发布的股票指数，投资者可登陆中证指数有限公司官网查询。</w:t>
            </w:r>
          </w:p>
          <w:p>
            <w:pPr>
              <w:spacing w:line="200" w:lineRule="exact"/>
              <w:jc w:val="left"/>
            </w:pPr>
            <w:r>
              <w:rPr>
                <w:rFonts w:ascii="方正黑体_GBK" w:eastAsia="方正黑体_GBK" w:cs="宋体"/>
                <w:sz w:val="18"/>
                <w:szCs w:val="18"/>
              </w:rPr>
              <w:t>2.每个申购/赎回开放期前，管理人可根据市场情况对下一封闭期的业绩比较基准进行适当调整，如有调整，将至少于该申购/赎回开放期前3个工作日进行信息披露。</w:t>
            </w:r>
          </w:p>
          <w:p>
            <w:pPr>
              <w:spacing w:line="200" w:lineRule="exact"/>
              <w:jc w:val="left"/>
            </w:pPr>
            <w:r>
              <w:rPr>
                <w:rFonts w:ascii="方正黑体_GBK" w:eastAsia="方正黑体_GBK" w:cs="宋体"/>
                <w:sz w:val="18"/>
                <w:szCs w:val="18"/>
              </w:rPr>
              <w:t>3.在某一封闭期内，以上指数收益率（年化）的计算方式为：（封闭期末日的指数收盘价÷封闭期首日前一工作日的指数收盘价-1）÷该封闭期天数×365天。</w:t>
            </w:r>
          </w:p>
          <w:p>
            <w:pPr>
              <w:spacing w:line="200" w:lineRule="exact"/>
              <w:jc w:val="left"/>
            </w:pPr>
            <w:r>
              <w:rPr>
                <w:rFonts w:ascii="方正黑体_GBK" w:eastAsia="方正黑体_GBK" w:cs="宋体"/>
                <w:sz w:val="18"/>
                <w:szCs w:val="18"/>
              </w:rPr>
              <w:t>4.管理人将在本理财产品定期报告中对以上业绩比较基准进行跟踪和披露。</w:t>
            </w:r>
          </w:p>
          <w:p>
            <w:pPr>
              <w:spacing w:line="200" w:lineRule="exact"/>
              <w:jc w:val="left"/>
            </w:pPr>
            <w:r>
              <w:rPr>
                <w:rFonts w:asci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低于80%，投资于非标准化债权类资产的比例不高于50%，投资于权益类资产的比例不高于50%。权益类资产在行业选择上，本理财产品将重点关注科技行业的政策导向，技术创新与发展趋势，并进行优先配置，结合权益类资产和固收类资产的投资比例及两类资产的收益和波动水平预判，管理人设定了本理财产品投资周期内业绩比较基准。</w:t>
            </w:r>
          </w:p>
          <w:p>
            <w:pPr>
              <w:widowControl/>
              <w:spacing w:line="200" w:lineRule="exact"/>
              <w:rPr>
                <w:rFonts w:hint="eastAsia" w:ascii="方正黑体_GBK" w:hAnsi="方正黑体_GBK" w:eastAsia="方正黑体_GBK" w:cs="方正黑体_GBK"/>
                <w:color w:val="3D3D3D"/>
                <w:kern w:val="0"/>
                <w:sz w:val="18"/>
                <w:szCs w:val="18"/>
              </w:rPr>
            </w:pPr>
            <w:r>
              <w:rPr>
                <w:rFonts w:ascii="方正黑体_GBK" w:eastAsia="方正黑体_GBK" w:cs="宋体"/>
                <w:b/>
                <w:sz w:val="18"/>
                <w:szCs w:val="18"/>
              </w:rPr>
              <w:t>本理财产品为净值型理财产品，业绩比较基准不是预期收益率，不代表产品的未来表现和实际收益，不构成对产品收益的承诺。</w:t>
            </w:r>
          </w:p>
        </w:tc>
        <w:tc>
          <w:tcPr>
            <w:tcW w:w="4358" w:type="dxa"/>
            <w:vAlign w:val="center"/>
          </w:tcPr>
          <w:p>
            <w:pPr>
              <w:spacing w:line="200" w:lineRule="exact"/>
              <w:jc w:val="left"/>
            </w:pPr>
            <w:r>
              <w:rPr>
                <w:rFonts w:ascii="方正黑体_GBK" w:hAnsi="方正黑体_GBK" w:eastAsia="方正黑体_GBK" w:cs="宋体"/>
                <w:sz w:val="18"/>
                <w:szCs w:val="18"/>
              </w:rPr>
              <w:t>本理财产品业绩比较基准为：中债新综合全价（1-3年）指数收益率×90%+中证800指数收益率×10%。</w:t>
            </w:r>
          </w:p>
          <w:p>
            <w:pPr>
              <w:spacing w:line="200" w:lineRule="exact"/>
              <w:jc w:val="left"/>
            </w:pPr>
          </w:p>
          <w:p>
            <w:pPr>
              <w:spacing w:line="200" w:lineRule="exact"/>
              <w:jc w:val="left"/>
            </w:pPr>
            <w:r>
              <w:rPr>
                <w:rFonts w:ascii="方正黑体_GBK" w:hAnsi="方正黑体_GBK" w:eastAsia="方正黑体_GBK" w:cs="宋体"/>
                <w:sz w:val="18"/>
                <w:szCs w:val="18"/>
              </w:rPr>
              <w:t>注：1.中债新综合全价（1-3年）指数为中央国债登记结算有限责任公司发布的债券指数，投资者可登陆中国债券信息网查询；中证800指数为中证指数有限公司发布的股票指数，投资者可登陆中证指数有限公司官网查询。</w:t>
            </w:r>
          </w:p>
          <w:p>
            <w:pPr>
              <w:spacing w:line="200" w:lineRule="exact"/>
              <w:ind w:firstLine="360"/>
              <w:jc w:val="left"/>
            </w:pPr>
            <w:r>
              <w:rPr>
                <w:rFonts w:ascii="方正黑体_GBK" w:hAnsi="方正黑体_GBK" w:eastAsia="方正黑体_GBK" w:cs="宋体"/>
                <w:sz w:val="18"/>
                <w:szCs w:val="18"/>
              </w:rPr>
              <w:t>2.在某一观察期内，以上指数收益率（年化）的计算方式为：（观察期末日的指数收盘价÷观察期首日前一工作日的指数收盘价-1）÷该观察期天数×365天。</w:t>
            </w:r>
          </w:p>
          <w:p>
            <w:pPr>
              <w:spacing w:line="200" w:lineRule="exact"/>
              <w:ind w:firstLine="360"/>
              <w:jc w:val="left"/>
            </w:pPr>
            <w:r>
              <w:rPr>
                <w:rFonts w:ascii="方正黑体_GBK" w:hAnsi="方正黑体_GBK" w:eastAsia="方正黑体_GBK" w:cs="宋体"/>
                <w:sz w:val="18"/>
                <w:szCs w:val="18"/>
              </w:rPr>
              <w:t>3.管理人将在本理财产品定期报告中对以上业绩比较基准进行跟踪和披露。</w:t>
            </w:r>
          </w:p>
          <w:p>
            <w:pPr>
              <w:spacing w:line="200" w:lineRule="exact"/>
              <w:jc w:val="left"/>
            </w:pPr>
            <w:r>
              <w:rPr>
                <w:rFonts w:ascii="方正黑体_GBK" w:hAnsi="方正黑体_GBK" w:eastAsia="方正黑体_GBK" w:cs="宋体"/>
                <w:sz w:val="18"/>
                <w:szCs w:val="18"/>
              </w:rPr>
              <w:t xml:space="preserve">  4.管理人可根据市场情况对业绩比较基准进行适当调整，如有调整，将至少于调整前3个工作日公布调整方案。</w:t>
            </w:r>
          </w:p>
          <w:p>
            <w:pPr>
              <w:spacing w:line="200" w:lineRule="exact"/>
              <w:jc w:val="lef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低于80%，投资于非标准化债权类资产的比例不高于50%，投资于权益类资产的比例不高于50%。权益类资产在行业选择上，本理财产品将重点关注科技行业的政策导向，技术创新与发展趋势，并进行优先配置，结合权益类资产和固收类资产的投资比例及两类资产的收益和波动水平预判，管理人设定了本理财产品投资周期内业绩比较基准。</w:t>
            </w:r>
          </w:p>
          <w:p>
            <w:pPr>
              <w:widowControl/>
              <w:spacing w:line="200" w:lineRule="exact"/>
              <w:rPr>
                <w:rFonts w:hint="eastAsia" w:ascii="方正黑体_GBK" w:hAnsi="方正黑体_GBK" w:eastAsia="方正黑体_GBK" w:cs="方正黑体_GBK"/>
                <w:color w:val="3D3D3D"/>
                <w:kern w:val="0"/>
                <w:sz w:val="18"/>
                <w:szCs w:val="18"/>
              </w:rPr>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kern w:val="0"/>
                <w:sz w:val="18"/>
                <w:szCs w:val="18"/>
              </w:rPr>
              <w:t>产品费用</w:t>
            </w:r>
          </w:p>
        </w:tc>
        <w:tc>
          <w:tcPr>
            <w:tcW w:w="4134" w:type="dxa"/>
            <w:vAlign w:val="center"/>
          </w:tcPr>
          <w:p>
            <w:pPr>
              <w:spacing w:line="200" w:lineRule="exact"/>
            </w:pPr>
            <w:r>
              <w:rPr>
                <w:rFonts w:ascii="方正黑体_GBK" w:eastAsia="方正黑体_GBK" w:cs="宋体"/>
                <w:b/>
                <w:sz w:val="18"/>
                <w:szCs w:val="18"/>
              </w:rPr>
              <w:t>认/申购费：本理财产品暂不收取认/申购费。</w:t>
            </w:r>
          </w:p>
          <w:p>
            <w:pPr>
              <w:spacing w:line="200" w:lineRule="exact"/>
            </w:pPr>
            <w:r>
              <w:rPr>
                <w:rFonts w:ascii="方正黑体_GBK" w:eastAsia="方正黑体_GBK" w:cs="宋体"/>
                <w:b/>
                <w:sz w:val="18"/>
                <w:szCs w:val="18"/>
              </w:rPr>
              <w:t>赎回费：本理财产品暂不收取赎回费。</w:t>
            </w:r>
          </w:p>
          <w:p>
            <w:pPr>
              <w:spacing w:line="200" w:lineRule="exact"/>
            </w:pPr>
            <w:r>
              <w:rPr>
                <w:rFonts w:ascii="方正黑体_GBK" w:eastAsia="方正黑体_GBK" w:cs="宋体"/>
                <w:b/>
                <w:sz w:val="18"/>
                <w:szCs w:val="18"/>
              </w:rPr>
              <w:t>销售费：本理财产品按前一日理财产品资产净值收取年化0.4%的销售费，按日计提。</w:t>
            </w:r>
          </w:p>
          <w:p>
            <w:pPr>
              <w:spacing w:line="200" w:lineRule="exact"/>
            </w:pPr>
            <w:r>
              <w:rPr>
                <w:rFonts w:ascii="方正黑体_GBK" w:eastAsia="方正黑体_GBK" w:cs="宋体"/>
                <w:b/>
                <w:sz w:val="18"/>
                <w:szCs w:val="18"/>
              </w:rPr>
              <w:t>每日计提的销售费=前一日理财产品资产净值×年化销售费率÷365</w:t>
            </w:r>
          </w:p>
          <w:p>
            <w:pPr>
              <w:spacing w:line="200" w:lineRule="exact"/>
            </w:pPr>
            <w:r>
              <w:rPr>
                <w:rFonts w:ascii="方正黑体_GBK" w:eastAsia="方正黑体_GBK" w:cs="宋体"/>
                <w:b/>
                <w:sz w:val="18"/>
                <w:szCs w:val="18"/>
              </w:rPr>
              <w:t>固定管理费：本理财产品按前一日理财产品资产净值收取年化0.6%的固定管理费，按日计提。</w:t>
            </w:r>
          </w:p>
          <w:p>
            <w:pPr>
              <w:spacing w:line="200" w:lineRule="exact"/>
            </w:pPr>
            <w:r>
              <w:rPr>
                <w:rFonts w:ascii="方正黑体_GBK" w:eastAsia="方正黑体_GBK" w:cs="宋体"/>
                <w:b/>
                <w:sz w:val="18"/>
                <w:szCs w:val="18"/>
              </w:rPr>
              <w:t>每日计提的固定管理费=前一日理财产品资产净值×年化固定管理费率÷365</w:t>
            </w:r>
          </w:p>
          <w:p>
            <w:pPr>
              <w:spacing w:line="200" w:lineRule="exact"/>
            </w:pPr>
            <w:r>
              <w:rPr>
                <w:rFonts w:asci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eastAsia="方正黑体_GBK" w:cs="宋体"/>
                <w:b/>
                <w:sz w:val="18"/>
                <w:szCs w:val="18"/>
              </w:rPr>
              <w:t>每日计提的托管费=前一日理财产品资产净值×年化托管费率÷365</w:t>
            </w:r>
          </w:p>
          <w:p>
            <w:pPr>
              <w:spacing w:line="200" w:lineRule="exact"/>
            </w:pPr>
            <w:r>
              <w:rPr>
                <w:rFonts w:ascii="方正黑体_GBK" w:eastAsia="方正黑体_GBK" w:cs="宋体"/>
                <w:b/>
                <w:sz w:val="18"/>
                <w:szCs w:val="18"/>
              </w:rPr>
              <w:t>业绩报酬：申购/赎回确认日和产品实际到期时，当期产品投资的实际资产组合收益（扣除销售费、固定管理费、托管费等相关费用）超过5.2%（年化，即产品该份额对应的业绩报酬计提基准）时，超过部分管理人将按40%收取业绩报酬。</w:t>
            </w:r>
          </w:p>
          <w:p>
            <w:pPr>
              <w:widowControl/>
              <w:spacing w:line="200" w:lineRule="exact"/>
              <w:rPr>
                <w:rFonts w:hint="eastAsia" w:ascii="方正黑体_GBK" w:hAnsi="方正黑体_GBK" w:eastAsia="方正黑体_GBK" w:cs="方正黑体_GBK"/>
                <w:color w:val="3D3D3D"/>
                <w:kern w:val="0"/>
                <w:sz w:val="18"/>
                <w:szCs w:val="18"/>
              </w:rPr>
            </w:pPr>
            <w:r>
              <w:rPr>
                <w:rFonts w:asci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c>
          <w:tcPr>
            <w:tcW w:w="4358" w:type="dxa"/>
            <w:vAlign w:val="center"/>
          </w:tcPr>
          <w:p>
            <w:pPr>
              <w:spacing w:line="200" w:lineRule="exact"/>
            </w:pPr>
            <w:r>
              <w:rPr>
                <w:rFonts w:ascii="方正黑体_GBK" w:hAnsi="方正黑体_GBK" w:eastAsia="方正黑体_GBK" w:cs="宋体"/>
                <w:b/>
                <w:sz w:val="18"/>
                <w:szCs w:val="18"/>
              </w:rPr>
              <w:t>认/申购费：本理财产品暂不收取认/申购费。</w:t>
            </w:r>
          </w:p>
          <w:p>
            <w:pPr>
              <w:spacing w:line="200" w:lineRule="exact"/>
            </w:pPr>
            <w:r>
              <w:rPr>
                <w:rFonts w:ascii="方正黑体_GBK" w:hAnsi="方正黑体_GBK" w:eastAsia="方正黑体_GBK" w:cs="宋体"/>
                <w:b/>
                <w:sz w:val="18"/>
                <w:szCs w:val="18"/>
              </w:rPr>
              <w:t>赎回费：本理财产品暂不收取赎回费。</w:t>
            </w:r>
          </w:p>
          <w:p>
            <w:pPr>
              <w:spacing w:line="200" w:lineRule="exact"/>
            </w:pPr>
            <w:r>
              <w:rPr>
                <w:rFonts w:ascii="方正黑体_GBK" w:hAnsi="方正黑体_GBK" w:eastAsia="方正黑体_GBK" w:cs="宋体"/>
                <w:b/>
                <w:sz w:val="18"/>
                <w:szCs w:val="18"/>
              </w:rPr>
              <w:t>销售费：本理财产品按前一日理财产品资产净值收取年化0.4%的销售费，按日计提。</w:t>
            </w:r>
          </w:p>
          <w:p>
            <w:pPr>
              <w:spacing w:line="200" w:lineRule="exact"/>
            </w:pPr>
            <w:r>
              <w:rPr>
                <w:rFonts w:ascii="方正黑体_GBK" w:hAnsi="方正黑体_GBK" w:eastAsia="方正黑体_GBK" w:cs="宋体"/>
                <w:b/>
                <w:sz w:val="18"/>
                <w:szCs w:val="18"/>
              </w:rPr>
              <w:t>每日计提的销售费=前一日理财产品资产净值×年化销售费率÷365</w:t>
            </w:r>
          </w:p>
          <w:p>
            <w:pPr>
              <w:spacing w:line="200" w:lineRule="exact"/>
            </w:pPr>
            <w:r>
              <w:rPr>
                <w:rFonts w:ascii="方正黑体_GBK" w:hAnsi="方正黑体_GBK" w:eastAsia="方正黑体_GBK" w:cs="宋体"/>
                <w:b/>
                <w:sz w:val="18"/>
                <w:szCs w:val="18"/>
              </w:rPr>
              <w:t>固定管理费：本理财产品按前一日理财产品资产净值收取年化0.6%的固定管理费，按日计提。</w:t>
            </w:r>
          </w:p>
          <w:p>
            <w:pPr>
              <w:spacing w:line="200" w:lineRule="exact"/>
            </w:pPr>
            <w:r>
              <w:rPr>
                <w:rFonts w:ascii="方正黑体_GBK" w:hAnsi="方正黑体_GBK" w:eastAsia="方正黑体_GBK" w:cs="宋体"/>
                <w:b/>
                <w:sz w:val="18"/>
                <w:szCs w:val="18"/>
              </w:rPr>
              <w:t>每日计提的固定管理费=前一日理财产品资产净值×年化固定管理费率÷365</w:t>
            </w:r>
          </w:p>
          <w:p>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hAnsi="方正黑体_GBK" w:eastAsia="方正黑体_GBK" w:cs="宋体"/>
                <w:b/>
                <w:sz w:val="18"/>
                <w:szCs w:val="18"/>
              </w:rPr>
              <w:t>每日计提的托管费=前一日理财产品资产净值×年化托管费率÷365</w:t>
            </w:r>
          </w:p>
          <w:p>
            <w:pPr>
              <w:spacing w:line="200" w:lineRule="exact"/>
            </w:pPr>
            <w:r>
              <w:rPr>
                <w:rFonts w:ascii="方正黑体_GBK" w:hAnsi="方正黑体_GBK" w:eastAsia="方正黑体_GBK" w:cs="宋体"/>
                <w:b/>
                <w:sz w:val="18"/>
                <w:szCs w:val="18"/>
              </w:rPr>
              <w:t>业绩报酬：申购/赎回确认日和产品实际到期时，当期产品投资的实际资产组合收益（扣除销售费、固定管理费、托管费等相关费用）超过3.5%（年化，即产品该份额对应的业绩报酬计提基准）时，超过部分管理人将按40%收取业绩报酬。</w:t>
            </w:r>
          </w:p>
          <w:p>
            <w:pPr>
              <w:widowControl/>
              <w:spacing w:line="200" w:lineRule="exact"/>
              <w:rPr>
                <w:rFonts w:hint="eastAsia" w:ascii="方正黑体_GBK" w:hAnsi="方正黑体_GBK" w:eastAsia="方正黑体_GBK" w:cs="方正黑体_GBK"/>
                <w:color w:val="3D3D3D"/>
                <w:kern w:val="0"/>
                <w:sz w:val="15"/>
                <w:szCs w:val="15"/>
              </w:rPr>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bl>
    <w:p>
      <w:pPr>
        <w:spacing w:before="240" w:line="288" w:lineRule="auto"/>
        <w:ind w:firstLine="420"/>
        <w:rPr>
          <w:rFonts w:ascii="方正黑体_GBK" w:hAnsi="方正黑体_GBK" w:eastAsia="方正黑体_GBK" w:cs="方正黑体_GBK"/>
          <w:szCs w:val="21"/>
        </w:rPr>
      </w:pPr>
      <w:r>
        <w:rPr>
          <w:rFonts w:hint="eastAsia" w:ascii="方正黑体_GBK" w:hAnsi="方正黑体_GBK" w:eastAsia="方正黑体_GBK" w:cs="方正黑体_GBK"/>
          <w:szCs w:val="21"/>
        </w:rPr>
        <w:t>同时，本公司对本理财产品销售文件进行了更新，更新后的理财产品销售文件详见信息披露。</w:t>
      </w:r>
    </w:p>
    <w:p>
      <w:pPr>
        <w:spacing w:line="288" w:lineRule="auto"/>
        <w:ind w:firstLine="420"/>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如您不同意上述调整，可于2024年</w:t>
      </w:r>
      <w:r>
        <w:rPr>
          <w:rFonts w:hint="eastAsia" w:ascii="方正黑体_GBK" w:hAnsi="方正黑体_GBK" w:eastAsia="方正黑体_GBK" w:cs="方正黑体_GBK"/>
          <w:b/>
          <w:bCs/>
          <w:szCs w:val="21"/>
          <w:lang w:val="en-US" w:eastAsia="zh-CN"/>
        </w:rPr>
        <w:t>9</w:t>
      </w:r>
      <w:r>
        <w:rPr>
          <w:rFonts w:hint="eastAsia" w:ascii="方正黑体_GBK" w:hAnsi="方正黑体_GBK" w:eastAsia="方正黑体_GBK" w:cs="方正黑体_GBK"/>
          <w:b/>
          <w:bCs/>
          <w:szCs w:val="21"/>
        </w:rPr>
        <w:t>月1</w:t>
      </w:r>
      <w:r>
        <w:rPr>
          <w:rFonts w:hint="eastAsia" w:ascii="方正黑体_GBK" w:hAnsi="方正黑体_GBK" w:eastAsia="方正黑体_GBK" w:cs="方正黑体_GBK"/>
          <w:b/>
          <w:bCs/>
          <w:szCs w:val="21"/>
          <w:lang w:val="en-US" w:eastAsia="zh-CN"/>
        </w:rPr>
        <w:t>1</w:t>
      </w:r>
      <w:r>
        <w:rPr>
          <w:rFonts w:hint="eastAsia" w:ascii="方正黑体_GBK" w:hAnsi="方正黑体_GBK" w:eastAsia="方正黑体_GBK" w:cs="方正黑体_GBK"/>
          <w:b/>
          <w:bCs/>
          <w:szCs w:val="21"/>
        </w:rPr>
        <w:t>日至2024年</w:t>
      </w:r>
      <w:r>
        <w:rPr>
          <w:rFonts w:hint="eastAsia" w:ascii="方正黑体_GBK" w:hAnsi="方正黑体_GBK" w:eastAsia="方正黑体_GBK" w:cs="方正黑体_GBK"/>
          <w:b/>
          <w:bCs/>
          <w:szCs w:val="21"/>
          <w:lang w:val="en-US" w:eastAsia="zh-CN"/>
        </w:rPr>
        <w:t>9</w:t>
      </w:r>
      <w:r>
        <w:rPr>
          <w:rFonts w:hint="eastAsia" w:ascii="方正黑体_GBK" w:hAnsi="方正黑体_GBK" w:eastAsia="方正黑体_GBK" w:cs="方正黑体_GBK"/>
          <w:b/>
          <w:bCs/>
          <w:szCs w:val="21"/>
        </w:rPr>
        <w:t>月</w:t>
      </w:r>
      <w:r>
        <w:rPr>
          <w:rFonts w:hint="eastAsia" w:ascii="方正黑体_GBK" w:hAnsi="方正黑体_GBK" w:eastAsia="方正黑体_GBK" w:cs="方正黑体_GBK"/>
          <w:b/>
          <w:bCs/>
          <w:szCs w:val="21"/>
          <w:lang w:val="en-US" w:eastAsia="zh-CN"/>
        </w:rPr>
        <w:t>19</w:t>
      </w:r>
      <w:r>
        <w:rPr>
          <w:rFonts w:hint="eastAsia" w:ascii="方正黑体_GBK" w:hAnsi="方正黑体_GBK" w:eastAsia="方正黑体_GBK" w:cs="方正黑体_GBK"/>
          <w:b/>
          <w:bCs/>
          <w:szCs w:val="21"/>
        </w:rPr>
        <w:t>日（产品申购/赎回开放期期间）通过代销机构向管理人申请赎回，申购/赎回确认日为2024年</w:t>
      </w:r>
      <w:r>
        <w:rPr>
          <w:rFonts w:hint="eastAsia" w:ascii="方正黑体_GBK" w:hAnsi="方正黑体_GBK" w:eastAsia="方正黑体_GBK" w:cs="方正黑体_GBK"/>
          <w:b/>
          <w:bCs/>
          <w:szCs w:val="21"/>
          <w:lang w:val="en-US" w:eastAsia="zh-CN"/>
        </w:rPr>
        <w:t>9</w:t>
      </w:r>
      <w:r>
        <w:rPr>
          <w:rFonts w:hint="eastAsia" w:ascii="方正黑体_GBK" w:hAnsi="方正黑体_GBK" w:eastAsia="方正黑体_GBK" w:cs="方正黑体_GBK"/>
          <w:b/>
          <w:bCs/>
          <w:szCs w:val="21"/>
        </w:rPr>
        <w:t>月</w:t>
      </w:r>
      <w:r>
        <w:rPr>
          <w:rFonts w:hint="eastAsia" w:ascii="方正黑体_GBK" w:hAnsi="方正黑体_GBK" w:eastAsia="方正黑体_GBK" w:cs="方正黑体_GBK"/>
          <w:b/>
          <w:bCs/>
          <w:szCs w:val="21"/>
          <w:lang w:val="en-US" w:eastAsia="zh-CN"/>
        </w:rPr>
        <w:t>19</w:t>
      </w:r>
      <w:r>
        <w:rPr>
          <w:rFonts w:hint="eastAsia" w:ascii="方正黑体_GBK" w:hAnsi="方正黑体_GBK" w:eastAsia="方正黑体_GBK" w:cs="方正黑体_GBK"/>
          <w:b/>
          <w:bCs/>
          <w:szCs w:val="21"/>
        </w:rPr>
        <w:t>日。</w:t>
      </w:r>
    </w:p>
    <w:p>
      <w:pPr>
        <w:spacing w:line="288" w:lineRule="auto"/>
        <w:ind w:firstLine="420"/>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如您对本</w:t>
      </w:r>
      <w:r>
        <w:rPr>
          <w:rFonts w:hint="eastAsia" w:ascii="方正黑体_GBK" w:hAnsi="方正黑体_GBK" w:eastAsia="方正黑体_GBK" w:cs="方正黑体_GBK"/>
          <w:b/>
          <w:bCs/>
          <w:szCs w:val="21"/>
          <w:lang w:val="en-US" w:eastAsia="zh-CN"/>
        </w:rPr>
        <w:t>公告</w:t>
      </w:r>
      <w:bookmarkStart w:id="0" w:name="_GoBack"/>
      <w:bookmarkEnd w:id="0"/>
      <w:r>
        <w:rPr>
          <w:rFonts w:hint="eastAsia" w:ascii="方正黑体_GBK" w:hAnsi="方正黑体_GBK" w:eastAsia="方正黑体_GBK" w:cs="方正黑体_GBK"/>
          <w:b/>
          <w:bCs/>
          <w:szCs w:val="21"/>
        </w:rPr>
        <w:t>有任何疑问，可联系本理财产品代销机构或本公司，代销机构及本公司将竭诚为您服务。</w:t>
      </w:r>
    </w:p>
    <w:p>
      <w:pPr>
        <w:spacing w:line="288" w:lineRule="auto"/>
        <w:ind w:firstLine="420"/>
        <w:rPr>
          <w:rFonts w:ascii="方正黑体_GBK" w:hAnsi="方正黑体_GBK" w:eastAsia="方正黑体_GBK" w:cs="方正黑体_GBK"/>
          <w:szCs w:val="21"/>
        </w:rPr>
      </w:pPr>
      <w:r>
        <w:rPr>
          <w:rFonts w:hint="eastAsia" w:ascii="方正黑体_GBK" w:hAnsi="方正黑体_GBK" w:eastAsia="方正黑体_GBK" w:cs="方正黑体_GBK"/>
          <w:szCs w:val="21"/>
        </w:rPr>
        <w:t>感谢您一直以来的支持与信赖！</w:t>
      </w:r>
    </w:p>
    <w:p>
      <w:pPr>
        <w:spacing w:line="288" w:lineRule="auto"/>
        <w:ind w:firstLine="420"/>
        <w:jc w:val="right"/>
        <w:rPr>
          <w:rFonts w:ascii="方正黑体_GBK" w:hAnsi="方正黑体_GBK" w:eastAsia="方正黑体_GBK" w:cs="方正黑体_GBK"/>
          <w:szCs w:val="21"/>
        </w:rPr>
      </w:pPr>
      <w:r>
        <w:rPr>
          <w:rFonts w:hint="eastAsia" w:ascii="方正黑体_GBK" w:hAnsi="方正黑体_GBK" w:eastAsia="方正黑体_GBK" w:cs="方正黑体_GBK"/>
          <w:szCs w:val="21"/>
        </w:rPr>
        <w:t>南银理财有限责任公司</w:t>
      </w:r>
    </w:p>
    <w:p>
      <w:pPr>
        <w:spacing w:line="288" w:lineRule="auto"/>
        <w:ind w:firstLine="420"/>
        <w:jc w:val="right"/>
        <w:rPr>
          <w:rFonts w:ascii="方正黑体_GBK" w:hAnsi="方正黑体_GBK" w:eastAsia="方正黑体_GBK" w:cs="方正黑体_GBK"/>
          <w:sz w:val="22"/>
          <w:szCs w:val="22"/>
        </w:rPr>
      </w:pPr>
      <w:r>
        <w:rPr>
          <w:rFonts w:hint="eastAsia" w:ascii="方正黑体_GBK" w:hAnsi="方正黑体_GBK" w:eastAsia="方正黑体_GBK" w:cs="方正黑体_GBK"/>
          <w:szCs w:val="21"/>
        </w:rPr>
        <w:t>2024年</w:t>
      </w:r>
      <w:r>
        <w:rPr>
          <w:rFonts w:hint="eastAsia" w:ascii="方正黑体_GBK" w:hAnsi="方正黑体_GBK" w:eastAsia="方正黑体_GBK" w:cs="方正黑体_GBK"/>
          <w:szCs w:val="21"/>
          <w:lang w:val="en-US" w:eastAsia="zh-CN"/>
        </w:rPr>
        <w:t>9</w:t>
      </w:r>
      <w:r>
        <w:rPr>
          <w:rFonts w:hint="eastAsia" w:ascii="方正黑体_GBK" w:hAnsi="方正黑体_GBK" w:eastAsia="方正黑体_GBK" w:cs="方正黑体_GBK"/>
          <w:szCs w:val="21"/>
        </w:rPr>
        <w:t>月</w:t>
      </w:r>
      <w:r>
        <w:rPr>
          <w:rFonts w:hint="eastAsia" w:ascii="方正黑体_GBK" w:hAnsi="方正黑体_GBK" w:eastAsia="方正黑体_GBK" w:cs="方正黑体_GBK"/>
          <w:szCs w:val="21"/>
          <w:lang w:val="en-US" w:eastAsia="zh-CN"/>
        </w:rPr>
        <w:t>6</w:t>
      </w:r>
      <w:r>
        <w:rPr>
          <w:rFonts w:hint="eastAsia" w:ascii="方正黑体_GBK" w:hAnsi="方正黑体_GBK" w:eastAsia="方正黑体_GBK" w:cs="方正黑体_GBK"/>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5MzZhNmM2Y2MxN2VlZmQ5NTNmMWIxY2JkMzcxYzIifQ=="/>
  </w:docVars>
  <w:rsids>
    <w:rsidRoot w:val="363E586D"/>
    <w:rsid w:val="003A17FC"/>
    <w:rsid w:val="003D6625"/>
    <w:rsid w:val="004E5998"/>
    <w:rsid w:val="0066203A"/>
    <w:rsid w:val="00AB5D15"/>
    <w:rsid w:val="00B118BD"/>
    <w:rsid w:val="00B421EB"/>
    <w:rsid w:val="00CE5FB9"/>
    <w:rsid w:val="00CF401D"/>
    <w:rsid w:val="02236FEF"/>
    <w:rsid w:val="03473963"/>
    <w:rsid w:val="038C4B0B"/>
    <w:rsid w:val="044B21E0"/>
    <w:rsid w:val="057F019D"/>
    <w:rsid w:val="0825378E"/>
    <w:rsid w:val="0E2B6E26"/>
    <w:rsid w:val="0E2E163D"/>
    <w:rsid w:val="0E8D7052"/>
    <w:rsid w:val="11185866"/>
    <w:rsid w:val="12AA36D7"/>
    <w:rsid w:val="149A59CD"/>
    <w:rsid w:val="14E50393"/>
    <w:rsid w:val="15C67DF6"/>
    <w:rsid w:val="15DB600B"/>
    <w:rsid w:val="16317C94"/>
    <w:rsid w:val="17C02F84"/>
    <w:rsid w:val="181E36E3"/>
    <w:rsid w:val="19503E44"/>
    <w:rsid w:val="1A744958"/>
    <w:rsid w:val="1AB05FB9"/>
    <w:rsid w:val="1B140288"/>
    <w:rsid w:val="1B264000"/>
    <w:rsid w:val="1B5F63B9"/>
    <w:rsid w:val="1FF134BB"/>
    <w:rsid w:val="2077191A"/>
    <w:rsid w:val="20E069E0"/>
    <w:rsid w:val="212E5742"/>
    <w:rsid w:val="22155872"/>
    <w:rsid w:val="23277F9E"/>
    <w:rsid w:val="23912A0A"/>
    <w:rsid w:val="244D5031"/>
    <w:rsid w:val="26184F0D"/>
    <w:rsid w:val="26404A45"/>
    <w:rsid w:val="26790B4E"/>
    <w:rsid w:val="26A03C4A"/>
    <w:rsid w:val="26BE6E78"/>
    <w:rsid w:val="27DB7C76"/>
    <w:rsid w:val="288A56D2"/>
    <w:rsid w:val="2AD6562C"/>
    <w:rsid w:val="2C7A3008"/>
    <w:rsid w:val="2CC94C4A"/>
    <w:rsid w:val="2CE34D7D"/>
    <w:rsid w:val="2E883A48"/>
    <w:rsid w:val="2F412B64"/>
    <w:rsid w:val="30B05F05"/>
    <w:rsid w:val="325B6037"/>
    <w:rsid w:val="325D51EC"/>
    <w:rsid w:val="338E1E45"/>
    <w:rsid w:val="33E80E7C"/>
    <w:rsid w:val="35547B9D"/>
    <w:rsid w:val="363E586D"/>
    <w:rsid w:val="36F760D0"/>
    <w:rsid w:val="372E2AF9"/>
    <w:rsid w:val="37726E1F"/>
    <w:rsid w:val="37FB46F4"/>
    <w:rsid w:val="38365D03"/>
    <w:rsid w:val="391033BA"/>
    <w:rsid w:val="3AFF6A34"/>
    <w:rsid w:val="3B5924A3"/>
    <w:rsid w:val="3C5D1AF8"/>
    <w:rsid w:val="3C8E2C30"/>
    <w:rsid w:val="3D7967DF"/>
    <w:rsid w:val="3FDA544F"/>
    <w:rsid w:val="3FDE5383"/>
    <w:rsid w:val="41D76D58"/>
    <w:rsid w:val="427F2E82"/>
    <w:rsid w:val="43B6300B"/>
    <w:rsid w:val="44157076"/>
    <w:rsid w:val="44511A9E"/>
    <w:rsid w:val="44962FD7"/>
    <w:rsid w:val="44E35570"/>
    <w:rsid w:val="4552760B"/>
    <w:rsid w:val="46F53F15"/>
    <w:rsid w:val="47787EF5"/>
    <w:rsid w:val="48A0431E"/>
    <w:rsid w:val="497A378F"/>
    <w:rsid w:val="4BA96E07"/>
    <w:rsid w:val="4E7E6010"/>
    <w:rsid w:val="4F614833"/>
    <w:rsid w:val="514800FA"/>
    <w:rsid w:val="51B9200A"/>
    <w:rsid w:val="522272D4"/>
    <w:rsid w:val="539C6B8D"/>
    <w:rsid w:val="5468643B"/>
    <w:rsid w:val="552B45E2"/>
    <w:rsid w:val="5540265A"/>
    <w:rsid w:val="55A00FFA"/>
    <w:rsid w:val="55B06167"/>
    <w:rsid w:val="59927419"/>
    <w:rsid w:val="5A6E407A"/>
    <w:rsid w:val="5B063EB2"/>
    <w:rsid w:val="5D7A33E9"/>
    <w:rsid w:val="5E896C77"/>
    <w:rsid w:val="5F3E62BF"/>
    <w:rsid w:val="602F07C0"/>
    <w:rsid w:val="60746A49"/>
    <w:rsid w:val="611F7D37"/>
    <w:rsid w:val="638A5739"/>
    <w:rsid w:val="63A93A9E"/>
    <w:rsid w:val="64F4693C"/>
    <w:rsid w:val="64F6142F"/>
    <w:rsid w:val="651E4DF0"/>
    <w:rsid w:val="6680736D"/>
    <w:rsid w:val="687339B2"/>
    <w:rsid w:val="69B93A27"/>
    <w:rsid w:val="6B5F1DF0"/>
    <w:rsid w:val="6BD36FE8"/>
    <w:rsid w:val="6C6A4605"/>
    <w:rsid w:val="6DF224AA"/>
    <w:rsid w:val="6EED4088"/>
    <w:rsid w:val="70C26FB3"/>
    <w:rsid w:val="70D16A92"/>
    <w:rsid w:val="71A60683"/>
    <w:rsid w:val="727E02EB"/>
    <w:rsid w:val="74F45525"/>
    <w:rsid w:val="7554764F"/>
    <w:rsid w:val="776E7761"/>
    <w:rsid w:val="788C03D9"/>
    <w:rsid w:val="79C12E9A"/>
    <w:rsid w:val="7A3A12E1"/>
    <w:rsid w:val="7CE243B7"/>
    <w:rsid w:val="7E222B1C"/>
    <w:rsid w:val="7E382A2D"/>
    <w:rsid w:val="7E3C2153"/>
    <w:rsid w:val="7E833144"/>
    <w:rsid w:val="7FBE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2706</Characters>
  <Lines>22</Lines>
  <Paragraphs>6</Paragraphs>
  <TotalTime>2</TotalTime>
  <ScaleCrop>false</ScaleCrop>
  <LinksUpToDate>false</LinksUpToDate>
  <CharactersWithSpaces>3174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2024-06-03T08:08:00Z</dcterms:created>
  <dc:creator>钱哲贤</dc:creator>
  <cp:lastModifiedBy>Administrator</cp:lastModifiedBy>
  <cp:lastPrinted>2022-07-12T01:20:00Z</cp:lastPrinted>
  <dcterms:modified xsi:type="dcterms:W3CDTF">2024-09-06T03:49:19Z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63BB72E2CD2E4C9CA239C9FF8EA1C52C</vt:lpwstr>
  </property>
  <property fmtid="{D5CDD505-2E9C-101B-9397-08002B2CF9AE}" pid="4" name="_KSOProductBuildMID">
    <vt:lpwstr>CZWMQ6GO797Q0V9GRYR8IL0D7ZD0OSYREU0XUJDWXFGRTQLTZRBJICJUFSUTPDIRBFMXHOLSZIX78PNJRJFAYFFU8RL0WH5BAEODPHB3ADA86095A4A3DD4EEB0A13B77A36E04A</vt:lpwstr>
  </property>
  <property fmtid="{D5CDD505-2E9C-101B-9397-08002B2CF9AE}" pid="5" name="_KSOProductBuildSID">
    <vt:lpwstr>0F22FFF285E1471C983B28C46B523AF8</vt:lpwstr>
  </property>
</Properties>
</file>