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B52" w:rsidRDefault="00046FD1">
      <w:pPr>
        <w:spacing w:line="0" w:lineRule="atLeast"/>
        <w:jc w:val="center"/>
        <w:rPr>
          <w:b/>
          <w:bCs/>
          <w:kern w:val="0"/>
          <w:sz w:val="24"/>
          <w:szCs w:val="24"/>
        </w:rPr>
      </w:pPr>
      <w:r>
        <w:rPr>
          <w:rFonts w:hint="eastAsia"/>
          <w:b/>
          <w:bCs/>
          <w:kern w:val="0"/>
          <w:sz w:val="24"/>
          <w:szCs w:val="24"/>
        </w:rPr>
        <w:t>理财产品风险揭示书</w:t>
      </w:r>
    </w:p>
    <w:p w:rsidR="00C83B52" w:rsidRDefault="00046FD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83B52" w:rsidRDefault="00046FD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定期开放式、混合类、公募、净值型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C83B52" w:rsidRDefault="00046FD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C83B52" w:rsidRDefault="00046FD1">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83B52" w:rsidRDefault="00046FD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83B52" w:rsidRDefault="00046FD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C83B52" w:rsidRDefault="00046FD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C83B52" w:rsidRDefault="00046FD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C83B52" w:rsidRDefault="00046FD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83B52" w:rsidRDefault="00046FD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83B52" w:rsidRDefault="00046FD1">
      <w:pPr>
        <w:pStyle w:val="Normal365525b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83B52" w:rsidRDefault="00046FD1">
      <w:pPr>
        <w:spacing w:line="200" w:lineRule="exact"/>
      </w:pPr>
      <w:r>
        <w:rPr>
          <w:rFonts w:cs="宋体"/>
          <w:b/>
          <w:sz w:val="13"/>
          <w:szCs w:val="20"/>
        </w:rPr>
        <w:t xml:space="preserve">    1.</w:t>
      </w:r>
      <w:r>
        <w:rPr>
          <w:rFonts w:cs="宋体"/>
          <w:b/>
          <w:sz w:val="13"/>
          <w:szCs w:val="20"/>
        </w:rPr>
        <w:t>债券类资产投资风险</w:t>
      </w:r>
    </w:p>
    <w:p w:rsidR="00C83B52" w:rsidRDefault="00046FD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83B52" w:rsidRDefault="00046FD1">
      <w:pPr>
        <w:spacing w:line="200" w:lineRule="exact"/>
      </w:pPr>
      <w:r>
        <w:rPr>
          <w:rFonts w:cs="宋体"/>
          <w:b/>
          <w:sz w:val="13"/>
          <w:szCs w:val="20"/>
        </w:rPr>
        <w:t xml:space="preserve">    2.</w:t>
      </w:r>
      <w:r>
        <w:rPr>
          <w:rFonts w:cs="宋体"/>
          <w:b/>
          <w:sz w:val="13"/>
          <w:szCs w:val="20"/>
        </w:rPr>
        <w:t>非标准化债权类资产投资风险</w:t>
      </w:r>
    </w:p>
    <w:p w:rsidR="00C83B52" w:rsidRDefault="00046FD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C83B52" w:rsidRDefault="00046FD1">
      <w:pPr>
        <w:spacing w:line="200" w:lineRule="exact"/>
      </w:pPr>
      <w:r>
        <w:rPr>
          <w:rFonts w:cs="宋体"/>
          <w:b/>
          <w:sz w:val="13"/>
          <w:szCs w:val="20"/>
        </w:rPr>
        <w:lastRenderedPageBreak/>
        <w:t xml:space="preserve">    3.</w:t>
      </w:r>
      <w:r>
        <w:rPr>
          <w:rFonts w:cs="宋体"/>
          <w:b/>
          <w:sz w:val="13"/>
          <w:szCs w:val="20"/>
        </w:rPr>
        <w:t>权益类资产投资风险</w:t>
      </w:r>
    </w:p>
    <w:p w:rsidR="00C83B52" w:rsidRDefault="00046FD1">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C83B52" w:rsidRDefault="00046FD1">
      <w:pPr>
        <w:spacing w:line="200" w:lineRule="exact"/>
      </w:pPr>
      <w:r>
        <w:rPr>
          <w:rFonts w:cs="宋体"/>
          <w:b/>
          <w:sz w:val="13"/>
          <w:szCs w:val="20"/>
        </w:rPr>
        <w:t xml:space="preserve">    4.</w:t>
      </w:r>
      <w:r>
        <w:rPr>
          <w:rFonts w:cs="宋体"/>
          <w:b/>
          <w:sz w:val="13"/>
          <w:szCs w:val="20"/>
        </w:rPr>
        <w:t>资产管理产品投资风险</w:t>
      </w:r>
    </w:p>
    <w:p w:rsidR="00C83B52" w:rsidRDefault="00046FD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83B52" w:rsidRDefault="00046FD1">
      <w:pPr>
        <w:pStyle w:val="Normal365525b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类型：定期开放式、混合类、公募、净值型。</w:t>
      </w:r>
    </w:p>
    <w:p w:rsidR="00C83B52" w:rsidRDefault="00046FD1">
      <w:pPr>
        <w:pStyle w:val="Normal365525b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w:t>
      </w:r>
      <w:r>
        <w:rPr>
          <w:rFonts w:hint="eastAsia"/>
          <w:b/>
          <w:color w:val="3D3D3D"/>
          <w:kern w:val="0"/>
          <w:sz w:val="13"/>
          <w:szCs w:val="13"/>
        </w:rPr>
        <w:t>前终止或延期终止，以实际到期日计算持有天数）</w:t>
      </w:r>
      <w:r>
        <w:rPr>
          <w:rFonts w:hint="eastAsia"/>
          <w:b/>
          <w:color w:val="3D3D3D"/>
          <w:kern w:val="0"/>
          <w:sz w:val="13"/>
          <w:szCs w:val="13"/>
        </w:rPr>
        <w:t>。</w:t>
      </w:r>
    </w:p>
    <w:p w:rsidR="00C83B52" w:rsidRDefault="00046FD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C83B52" w:rsidRDefault="00046FD1">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83B52" w:rsidRDefault="00046FD1">
      <w:pPr>
        <w:pStyle w:val="Normal365525b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C83B52" w:rsidRDefault="00046FD1">
      <w:pPr>
        <w:pStyle w:val="Normal365525b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C83B52" w:rsidRDefault="00046FD1">
      <w:pPr>
        <w:pStyle w:val="Normal365525b5"/>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83B52" w:rsidRDefault="00046FD1">
      <w:pPr>
        <w:pStyle w:val="Normal365525b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83B52" w:rsidRDefault="00C83B52">
      <w:pPr>
        <w:pStyle w:val="Normal365525b5"/>
        <w:widowControl/>
        <w:spacing w:line="200" w:lineRule="exact"/>
        <w:ind w:firstLine="260"/>
        <w:rPr>
          <w:b/>
          <w:color w:val="3D3D3D"/>
          <w:kern w:val="0"/>
          <w:sz w:val="13"/>
          <w:szCs w:val="13"/>
        </w:rPr>
      </w:pPr>
    </w:p>
    <w:p w:rsidR="00C83B52" w:rsidRDefault="00046FD1">
      <w:pPr>
        <w:pStyle w:val="Normal365525b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83B52" w:rsidRDefault="00C83B52">
      <w:pPr>
        <w:pStyle w:val="Normal365525b5"/>
        <w:widowControl/>
        <w:spacing w:line="200" w:lineRule="exact"/>
        <w:ind w:firstLine="260"/>
        <w:jc w:val="center"/>
        <w:rPr>
          <w:b/>
          <w:color w:val="3D3D3D"/>
          <w:kern w:val="0"/>
          <w:sz w:val="15"/>
          <w:szCs w:val="15"/>
          <w:u w:val="single"/>
        </w:rPr>
      </w:pPr>
    </w:p>
    <w:p w:rsidR="00C83B52" w:rsidRDefault="00046FD1">
      <w:pPr>
        <w:pStyle w:val="Normal365525b5"/>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83B52" w:rsidRDefault="00046FD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C83B52" w:rsidRDefault="00046FD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C83B52" w:rsidRDefault="00046FD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83B52" w:rsidRDefault="00046FD1">
      <w:pPr>
        <w:widowControl/>
        <w:spacing w:line="200" w:lineRule="exact"/>
        <w:ind w:firstLine="210"/>
        <w:rPr>
          <w:color w:val="3D3D3D"/>
          <w:kern w:val="0"/>
          <w:sz w:val="15"/>
          <w:szCs w:val="15"/>
        </w:rPr>
      </w:pPr>
      <w:r>
        <w:rPr>
          <w:rFonts w:hint="eastAsia"/>
          <w:color w:val="3D3D3D"/>
          <w:kern w:val="0"/>
          <w:sz w:val="15"/>
          <w:szCs w:val="15"/>
        </w:rPr>
        <w:t xml:space="preserve">         </w:t>
      </w:r>
    </w:p>
    <w:p w:rsidR="00C83B52" w:rsidRDefault="00C83B52">
      <w:pPr>
        <w:widowControl/>
        <w:spacing w:line="200" w:lineRule="exact"/>
        <w:ind w:firstLine="210"/>
        <w:rPr>
          <w:color w:val="3D3D3D"/>
          <w:kern w:val="0"/>
          <w:sz w:val="15"/>
          <w:szCs w:val="15"/>
        </w:rPr>
      </w:pPr>
    </w:p>
    <w:p w:rsidR="00C83B52" w:rsidRDefault="00046FD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83B52" w:rsidRDefault="00C83B52">
      <w:pPr>
        <w:widowControl/>
        <w:spacing w:line="200" w:lineRule="exact"/>
        <w:ind w:firstLine="210"/>
        <w:rPr>
          <w:color w:val="3D3D3D"/>
          <w:kern w:val="0"/>
          <w:sz w:val="13"/>
          <w:szCs w:val="13"/>
        </w:rPr>
      </w:pPr>
    </w:p>
    <w:p w:rsidR="00C83B52" w:rsidRDefault="00C83B52">
      <w:pPr>
        <w:widowControl/>
        <w:spacing w:line="200" w:lineRule="exact"/>
        <w:ind w:firstLine="210"/>
        <w:jc w:val="left"/>
        <w:rPr>
          <w:color w:val="3D3D3D"/>
          <w:kern w:val="0"/>
          <w:sz w:val="13"/>
          <w:szCs w:val="13"/>
        </w:rPr>
      </w:pPr>
    </w:p>
    <w:p w:rsidR="00C83B52" w:rsidRDefault="00C83B5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C83B5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400" w:lineRule="exact"/>
              <w:jc w:val="center"/>
              <w:rPr>
                <w:b/>
                <w:sz w:val="15"/>
                <w:szCs w:val="15"/>
              </w:rPr>
            </w:pPr>
            <w:r>
              <w:rPr>
                <w:rFonts w:hint="eastAsia"/>
                <w:b/>
                <w:sz w:val="15"/>
                <w:szCs w:val="15"/>
              </w:rPr>
              <w:t>个人投资者</w:t>
            </w:r>
          </w:p>
        </w:tc>
      </w:tr>
      <w:tr w:rsidR="00C83B52">
        <w:tc>
          <w:tcPr>
            <w:tcW w:w="9287" w:type="dxa"/>
            <w:tcBorders>
              <w:top w:val="single" w:sz="4" w:space="0" w:color="auto"/>
              <w:left w:val="single" w:sz="4" w:space="0" w:color="auto"/>
              <w:bottom w:val="single" w:sz="4" w:space="0" w:color="auto"/>
              <w:right w:val="single" w:sz="4" w:space="0" w:color="auto"/>
              <w:tl2br w:val="nil"/>
              <w:tr2bl w:val="nil"/>
            </w:tcBorders>
          </w:tcPr>
          <w:p w:rsidR="00C83B52" w:rsidRDefault="00046FD1">
            <w:pPr>
              <w:widowControl/>
              <w:spacing w:line="360" w:lineRule="auto"/>
              <w:rPr>
                <w:color w:val="3D3D3D"/>
                <w:kern w:val="0"/>
                <w:sz w:val="13"/>
                <w:szCs w:val="13"/>
              </w:rPr>
            </w:pPr>
            <w:r>
              <w:rPr>
                <w:rFonts w:hint="eastAsia"/>
                <w:sz w:val="15"/>
                <w:szCs w:val="15"/>
              </w:rPr>
              <w:t>签名：</w:t>
            </w:r>
          </w:p>
          <w:p w:rsidR="00C83B52" w:rsidRDefault="00046FD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83B5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400" w:lineRule="exact"/>
              <w:jc w:val="center"/>
              <w:rPr>
                <w:sz w:val="15"/>
                <w:szCs w:val="15"/>
              </w:rPr>
            </w:pPr>
            <w:r>
              <w:rPr>
                <w:rFonts w:hint="eastAsia"/>
                <w:b/>
                <w:bCs/>
                <w:color w:val="3D3D3D"/>
                <w:kern w:val="0"/>
                <w:sz w:val="15"/>
                <w:szCs w:val="15"/>
              </w:rPr>
              <w:t>机构投资者</w:t>
            </w:r>
          </w:p>
        </w:tc>
      </w:tr>
      <w:tr w:rsidR="00C83B52">
        <w:tc>
          <w:tcPr>
            <w:tcW w:w="9287" w:type="dxa"/>
            <w:tcBorders>
              <w:top w:val="single" w:sz="4" w:space="0" w:color="auto"/>
              <w:left w:val="single" w:sz="4" w:space="0" w:color="auto"/>
              <w:bottom w:val="single" w:sz="4" w:space="0" w:color="auto"/>
              <w:right w:val="single" w:sz="4" w:space="0" w:color="auto"/>
              <w:tl2br w:val="nil"/>
              <w:tr2bl w:val="nil"/>
            </w:tcBorders>
          </w:tcPr>
          <w:p w:rsidR="00C83B52" w:rsidRDefault="00C83B52">
            <w:pPr>
              <w:widowControl/>
              <w:spacing w:line="200" w:lineRule="exact"/>
              <w:jc w:val="left"/>
              <w:rPr>
                <w:b/>
                <w:bCs/>
                <w:color w:val="3D3D3D"/>
                <w:kern w:val="0"/>
                <w:sz w:val="15"/>
                <w:szCs w:val="15"/>
              </w:rPr>
            </w:pPr>
          </w:p>
          <w:p w:rsidR="00C83B52" w:rsidRDefault="00046FD1">
            <w:pPr>
              <w:widowControl/>
              <w:spacing w:line="200" w:lineRule="exact"/>
              <w:jc w:val="left"/>
              <w:rPr>
                <w:b/>
                <w:bCs/>
                <w:color w:val="3D3D3D"/>
                <w:kern w:val="0"/>
                <w:sz w:val="15"/>
                <w:szCs w:val="15"/>
              </w:rPr>
            </w:pPr>
            <w:r>
              <w:rPr>
                <w:rFonts w:hint="eastAsia"/>
                <w:b/>
                <w:bCs/>
                <w:color w:val="3D3D3D"/>
                <w:kern w:val="0"/>
                <w:sz w:val="15"/>
                <w:szCs w:val="15"/>
              </w:rPr>
              <w:t>盖章（公章）</w:t>
            </w:r>
          </w:p>
          <w:p w:rsidR="00C83B52" w:rsidRDefault="00C83B52">
            <w:pPr>
              <w:widowControl/>
              <w:spacing w:line="200" w:lineRule="exact"/>
              <w:jc w:val="left"/>
              <w:rPr>
                <w:b/>
                <w:bCs/>
                <w:color w:val="3D3D3D"/>
                <w:kern w:val="0"/>
                <w:sz w:val="15"/>
                <w:szCs w:val="15"/>
              </w:rPr>
            </w:pPr>
          </w:p>
          <w:p w:rsidR="00C83B52" w:rsidRDefault="00046FD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C83B52" w:rsidRDefault="00C83B52">
            <w:pPr>
              <w:widowControl/>
              <w:spacing w:line="200" w:lineRule="exact"/>
              <w:jc w:val="left"/>
              <w:rPr>
                <w:color w:val="3D3D3D"/>
                <w:kern w:val="0"/>
                <w:sz w:val="13"/>
                <w:szCs w:val="13"/>
              </w:rPr>
            </w:pPr>
          </w:p>
          <w:p w:rsidR="00C83B52" w:rsidRDefault="00046FD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83B5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C83B52">
        <w:tc>
          <w:tcPr>
            <w:tcW w:w="9287" w:type="dxa"/>
            <w:tcBorders>
              <w:top w:val="single" w:sz="4" w:space="0" w:color="auto"/>
              <w:left w:val="single" w:sz="4" w:space="0" w:color="auto"/>
              <w:bottom w:val="single" w:sz="4" w:space="0" w:color="auto"/>
              <w:right w:val="single" w:sz="4" w:space="0" w:color="auto"/>
              <w:tl2br w:val="nil"/>
              <w:tr2bl w:val="nil"/>
            </w:tcBorders>
          </w:tcPr>
          <w:p w:rsidR="00C83B52" w:rsidRDefault="00046FD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C83B52" w:rsidRDefault="00046FD1" w:rsidP="00EE0289">
      <w:pPr>
        <w:jc w:val="center"/>
        <w:rPr>
          <w:b/>
          <w:bCs/>
          <w:kern w:val="0"/>
          <w:sz w:val="24"/>
          <w:szCs w:val="24"/>
        </w:rPr>
      </w:pPr>
      <w:r>
        <w:br w:type="page"/>
      </w:r>
      <w:r>
        <w:rPr>
          <w:rFonts w:hint="eastAsia"/>
          <w:b/>
          <w:bCs/>
          <w:kern w:val="0"/>
          <w:sz w:val="24"/>
          <w:szCs w:val="24"/>
        </w:rPr>
        <w:lastRenderedPageBreak/>
        <w:t>理财产品说明书</w:t>
      </w:r>
    </w:p>
    <w:p w:rsidR="00C83B52" w:rsidRDefault="00046FD1">
      <w:pPr>
        <w:pStyle w:val="Normal8ca8340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83B52" w:rsidRDefault="00046FD1">
      <w:pPr>
        <w:pStyle w:val="NormalWebe8a36c1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C83B5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理财盈瑞灵活</w:t>
            </w:r>
            <w:proofErr w:type="gramEnd"/>
            <w:r>
              <w:rPr>
                <w:rFonts w:hint="eastAsia"/>
                <w:kern w:val="0"/>
                <w:sz w:val="18"/>
                <w:szCs w:val="18"/>
              </w:rPr>
              <w:t>价值精选两年定开</w:t>
            </w:r>
            <w:r>
              <w:rPr>
                <w:rFonts w:hint="eastAsia"/>
                <w:kern w:val="0"/>
                <w:sz w:val="18"/>
                <w:szCs w:val="18"/>
              </w:rPr>
              <w:t>2022</w:t>
            </w:r>
            <w:r>
              <w:rPr>
                <w:rFonts w:hint="eastAsia"/>
                <w:kern w:val="0"/>
                <w:sz w:val="18"/>
                <w:szCs w:val="18"/>
              </w:rPr>
              <w:t>第</w:t>
            </w:r>
            <w:r>
              <w:rPr>
                <w:rFonts w:hint="eastAsia"/>
                <w:kern w:val="0"/>
                <w:sz w:val="18"/>
                <w:szCs w:val="18"/>
              </w:rPr>
              <w:t>1</w:t>
            </w:r>
            <w:r>
              <w:rPr>
                <w:rFonts w:hint="eastAsia"/>
                <w:kern w:val="0"/>
                <w:sz w:val="18"/>
                <w:szCs w:val="18"/>
              </w:rPr>
              <w:t>期公募人民币理财产品</w:t>
            </w:r>
          </w:p>
        </w:tc>
      </w:tr>
      <w:tr w:rsidR="00C83B5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83B52" w:rsidRDefault="00046FD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C83B52" w:rsidRDefault="00046FD1">
            <w:pPr>
              <w:widowControl/>
              <w:spacing w:line="200" w:lineRule="exact"/>
              <w:jc w:val="left"/>
              <w:rPr>
                <w:kern w:val="0"/>
                <w:sz w:val="18"/>
                <w:szCs w:val="18"/>
              </w:rPr>
            </w:pPr>
            <w:r>
              <w:rPr>
                <w:rFonts w:hint="eastAsia"/>
                <w:kern w:val="0"/>
                <w:sz w:val="18"/>
                <w:szCs w:val="18"/>
              </w:rPr>
              <w:t>定期开放式、混合类、公募、净值型</w:t>
            </w:r>
          </w:p>
        </w:tc>
      </w:tr>
      <w:tr w:rsidR="00C83B5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83B52" w:rsidRDefault="00046FD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C83B52" w:rsidRDefault="00046FD1">
            <w:pPr>
              <w:widowControl/>
              <w:spacing w:line="200" w:lineRule="exact"/>
              <w:jc w:val="left"/>
              <w:rPr>
                <w:kern w:val="0"/>
                <w:sz w:val="18"/>
                <w:szCs w:val="18"/>
              </w:rPr>
            </w:pPr>
            <w:r>
              <w:rPr>
                <w:rFonts w:hint="eastAsia"/>
                <w:kern w:val="0"/>
                <w:sz w:val="18"/>
                <w:szCs w:val="18"/>
              </w:rPr>
              <w:t>公开募集</w:t>
            </w:r>
          </w:p>
        </w:tc>
      </w:tr>
      <w:tr w:rsidR="00C83B5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ZZ700322201404</w:t>
            </w:r>
          </w:p>
        </w:tc>
      </w:tr>
      <w:tr w:rsidR="00C83B5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cs="宋体" w:hint="eastAsia"/>
                <w:kern w:val="0"/>
                <w:sz w:val="18"/>
                <w:szCs w:val="18"/>
              </w:rPr>
              <w:t>Z7003222000056(</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C83B5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widowControl/>
              <w:spacing w:line="200" w:lineRule="exact"/>
              <w:jc w:val="left"/>
              <w:textAlignment w:val="center"/>
              <w:rPr>
                <w:sz w:val="18"/>
                <w:szCs w:val="18"/>
              </w:rPr>
            </w:pPr>
            <w:r>
              <w:rPr>
                <w:rFonts w:hint="eastAsia"/>
                <w:kern w:val="0"/>
                <w:sz w:val="18"/>
                <w:szCs w:val="18"/>
              </w:rPr>
              <w:t>Z91001</w:t>
            </w:r>
          </w:p>
        </w:tc>
      </w:tr>
      <w:tr w:rsidR="00C83B5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C83B5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全国</w:t>
            </w:r>
          </w:p>
        </w:tc>
      </w:tr>
      <w:tr w:rsidR="00C83B5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widowControl/>
              <w:spacing w:line="200" w:lineRule="exact"/>
              <w:jc w:val="left"/>
              <w:textAlignment w:val="center"/>
              <w:rPr>
                <w:kern w:val="0"/>
                <w:sz w:val="18"/>
                <w:szCs w:val="18"/>
              </w:rPr>
            </w:pPr>
            <w:r>
              <w:rPr>
                <w:rFonts w:hint="eastAsia"/>
                <w:kern w:val="0"/>
                <w:sz w:val="18"/>
                <w:szCs w:val="18"/>
              </w:rPr>
              <w:t>人民币</w:t>
            </w:r>
          </w:p>
        </w:tc>
      </w:tr>
      <w:tr w:rsidR="00C83B5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color w:val="000000"/>
                <w:sz w:val="18"/>
                <w:szCs w:val="18"/>
              </w:rPr>
              <w:t>本理财产品规模下限为</w:t>
            </w:r>
            <w:r>
              <w:rPr>
                <w:rFonts w:cs="宋体"/>
                <w:color w:val="000000"/>
                <w:sz w:val="18"/>
                <w:szCs w:val="18"/>
              </w:rPr>
              <w:t>0.2</w:t>
            </w:r>
            <w:r>
              <w:rPr>
                <w:rFonts w:cs="宋体"/>
                <w:color w:val="000000"/>
                <w:sz w:val="18"/>
                <w:szCs w:val="18"/>
              </w:rPr>
              <w:t>亿元，上限为</w:t>
            </w:r>
            <w:r>
              <w:rPr>
                <w:rFonts w:cs="宋体"/>
                <w:color w:val="000000"/>
                <w:sz w:val="18"/>
                <w:szCs w:val="18"/>
              </w:rPr>
              <w:t>200</w:t>
            </w:r>
            <w:r>
              <w:rPr>
                <w:rFonts w:cs="宋体"/>
                <w:color w:val="000000"/>
                <w:sz w:val="18"/>
                <w:szCs w:val="18"/>
              </w:rPr>
              <w:t>亿元。本理财产品最终规模以实际募集规模为准。如产品募集规模低于</w:t>
            </w:r>
            <w:r>
              <w:rPr>
                <w:rFonts w:cs="宋体"/>
                <w:color w:val="000000"/>
                <w:sz w:val="18"/>
                <w:szCs w:val="18"/>
              </w:rPr>
              <w:t>0.2</w:t>
            </w:r>
            <w:r>
              <w:rPr>
                <w:rFonts w:cs="宋体"/>
                <w:color w:val="000000"/>
                <w:sz w:val="18"/>
                <w:szCs w:val="18"/>
              </w:rPr>
              <w:t>亿元，则理财产品管理人有权宣布本产品不成立并在原定募集期结束后</w:t>
            </w:r>
            <w:r>
              <w:rPr>
                <w:rFonts w:cs="宋体"/>
                <w:color w:val="000000"/>
                <w:sz w:val="18"/>
                <w:szCs w:val="18"/>
              </w:rPr>
              <w:t>3</w:t>
            </w:r>
            <w:r>
              <w:rPr>
                <w:rFonts w:cs="宋体"/>
                <w:color w:val="000000"/>
                <w:sz w:val="18"/>
                <w:szCs w:val="18"/>
              </w:rPr>
              <w:t>个工作日内就产品不成立进行信息披露。理财产品管理人有权对上述规模上限和下限根据实际业务需求进行调整。若本理财产品不成立，销售机构或产品管理人将解除对投资者授权指定账户认购资金的冻结或返还认购资金，自投资者认购至解除冻结资金或返还认购资金期间产品不计任何收益。</w:t>
            </w:r>
          </w:p>
        </w:tc>
      </w:tr>
      <w:tr w:rsidR="00C83B5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83B52" w:rsidRDefault="00046FD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83B5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color w:val="000000"/>
                <w:sz w:val="18"/>
                <w:szCs w:val="18"/>
              </w:rPr>
              <w:t>符合相关法律法规、监管规定要求的，经销售机构的风险承受能力评估体系评定为适合的个人和机构投资者。</w:t>
            </w:r>
          </w:p>
          <w:p w:rsidR="00C83B52" w:rsidRDefault="00C83B52">
            <w:pPr>
              <w:spacing w:line="200" w:lineRule="exact"/>
            </w:pPr>
          </w:p>
        </w:tc>
      </w:tr>
      <w:tr w:rsidR="00C83B5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83B52" w:rsidRDefault="00046FD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83B52" w:rsidRDefault="00046FD1">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C83B52" w:rsidRDefault="00046FD1">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C83B52" w:rsidRDefault="00046FD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color w:val="000000"/>
                <w:sz w:val="18"/>
                <w:szCs w:val="18"/>
              </w:rPr>
              <w:t>2022</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01</w:t>
            </w:r>
            <w:r>
              <w:rPr>
                <w:rFonts w:cs="宋体"/>
                <w:color w:val="000000"/>
                <w:sz w:val="18"/>
                <w:szCs w:val="18"/>
              </w:rPr>
              <w:t>日</w:t>
            </w:r>
            <w:r>
              <w:rPr>
                <w:rFonts w:cs="宋体"/>
                <w:color w:val="000000"/>
                <w:sz w:val="18"/>
                <w:szCs w:val="18"/>
              </w:rPr>
              <w:t xml:space="preserve"> 09:00—2022</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08</w:t>
            </w:r>
            <w:r>
              <w:rPr>
                <w:rFonts w:cs="宋体"/>
                <w:color w:val="000000"/>
                <w:sz w:val="18"/>
                <w:szCs w:val="18"/>
              </w:rPr>
              <w:t>日</w:t>
            </w:r>
            <w:r>
              <w:rPr>
                <w:rFonts w:cs="宋体"/>
                <w:color w:val="000000"/>
                <w:sz w:val="18"/>
                <w:szCs w:val="18"/>
              </w:rPr>
              <w:t xml:space="preserve"> </w:t>
            </w:r>
            <w:r>
              <w:rPr>
                <w:rFonts w:cs="宋体"/>
                <w:color w:val="000000"/>
                <w:sz w:val="18"/>
                <w:szCs w:val="18"/>
              </w:rPr>
              <w:t>15:30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C83B5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rPr>
                <w:color w:val="000000"/>
                <w:kern w:val="0"/>
                <w:sz w:val="18"/>
                <w:szCs w:val="18"/>
              </w:rPr>
            </w:pPr>
            <w:r>
              <w:rPr>
                <w:rFonts w:hint="eastAsia"/>
                <w:color w:val="000000"/>
                <w:kern w:val="0"/>
                <w:sz w:val="18"/>
                <w:szCs w:val="18"/>
              </w:rPr>
              <w:t>同产品成立日</w:t>
            </w:r>
          </w:p>
        </w:tc>
      </w:tr>
      <w:tr w:rsidR="00C83B5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09</w:t>
            </w:r>
            <w:r>
              <w:rPr>
                <w:rFonts w:hint="eastAsia"/>
                <w:kern w:val="0"/>
                <w:sz w:val="18"/>
                <w:szCs w:val="18"/>
              </w:rPr>
              <w:t>日</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2022</w:t>
            </w:r>
            <w:r>
              <w:rPr>
                <w:rFonts w:cs="宋体"/>
                <w:sz w:val="18"/>
                <w:szCs w:val="18"/>
              </w:rPr>
              <w:t>年</w:t>
            </w:r>
            <w:r>
              <w:rPr>
                <w:rFonts w:cs="宋体"/>
                <w:sz w:val="18"/>
                <w:szCs w:val="18"/>
              </w:rPr>
              <w:t>08</w:t>
            </w:r>
            <w:r>
              <w:rPr>
                <w:rFonts w:cs="宋体"/>
                <w:sz w:val="18"/>
                <w:szCs w:val="18"/>
              </w:rPr>
              <w:t>月</w:t>
            </w:r>
            <w:r>
              <w:rPr>
                <w:rFonts w:cs="宋体"/>
                <w:sz w:val="18"/>
                <w:szCs w:val="18"/>
              </w:rPr>
              <w:t>09</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w:t>
            </w:r>
            <w:r>
              <w:rPr>
                <w:rFonts w:cs="宋体"/>
                <w:sz w:val="18"/>
                <w:szCs w:val="18"/>
              </w:rPr>
              <w:lastRenderedPageBreak/>
              <w:t>日。</w:t>
            </w:r>
            <w:r>
              <w:rPr>
                <w:rFonts w:cs="宋体"/>
                <w:b/>
                <w:sz w:val="18"/>
                <w:szCs w:val="18"/>
              </w:rPr>
              <w:t>理财产品管理人有权根据市场变化情况调整产品存续期，届时管理人将调整相关日期并进行信息披露。）</w:t>
            </w:r>
          </w:p>
        </w:tc>
      </w:tr>
      <w:tr w:rsidR="00C83B5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2033</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16</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C83B5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本理财产品按每两年开放申购、确认申购申请。管理人有权根据实际情况增加开放申购的次数，增加的申购确认日和申购开放日等另行信息披露。申购开放日和确认日另行信息披露。</w:t>
            </w:r>
          </w:p>
        </w:tc>
      </w:tr>
      <w:tr w:rsidR="00C83B52">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本理财产品按每两年开放赎回、确认赎回申请。管理人有权根据实际情况增加开放赎回的次数，增加的赎回确认日和赎回开放日另行信息披露。</w:t>
            </w:r>
          </w:p>
          <w:p w:rsidR="00C83B52" w:rsidRDefault="00046FD1">
            <w:pPr>
              <w:spacing w:line="200" w:lineRule="exact"/>
            </w:pPr>
            <w:r>
              <w:rPr>
                <w:rFonts w:cs="宋体"/>
                <w:sz w:val="18"/>
                <w:szCs w:val="18"/>
              </w:rPr>
              <w:t>产品终止时，管理人将对所有产品份额进行强制赎回。赎回开放日和确认日另行信息披露。</w:t>
            </w:r>
          </w:p>
        </w:tc>
      </w:tr>
      <w:tr w:rsidR="00C83B5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申购</w:t>
            </w:r>
            <w:r>
              <w:rPr>
                <w:rFonts w:cs="宋体"/>
                <w:sz w:val="18"/>
                <w:szCs w:val="18"/>
              </w:rPr>
              <w:t>/</w:t>
            </w:r>
            <w:r>
              <w:rPr>
                <w:rFonts w:cs="宋体"/>
                <w:sz w:val="18"/>
                <w:szCs w:val="18"/>
              </w:rPr>
              <w:t>赎回开放期首日的</w:t>
            </w:r>
            <w:r>
              <w:rPr>
                <w:rFonts w:cs="宋体"/>
                <w:sz w:val="18"/>
                <w:szCs w:val="18"/>
              </w:rPr>
              <w:t>9:00</w:t>
            </w:r>
            <w:r>
              <w:rPr>
                <w:rFonts w:cs="宋体"/>
                <w:sz w:val="18"/>
                <w:szCs w:val="18"/>
              </w:rPr>
              <w:t>至申购</w:t>
            </w:r>
            <w:r>
              <w:rPr>
                <w:rFonts w:cs="宋体"/>
                <w:sz w:val="18"/>
                <w:szCs w:val="18"/>
              </w:rPr>
              <w:t>/</w:t>
            </w:r>
            <w:r>
              <w:rPr>
                <w:rFonts w:cs="宋体"/>
                <w:sz w:val="18"/>
                <w:szCs w:val="18"/>
              </w:rPr>
              <w:t>赎回开放期末日的</w:t>
            </w:r>
            <w:r>
              <w:rPr>
                <w:rFonts w:cs="宋体"/>
                <w:sz w:val="18"/>
                <w:szCs w:val="18"/>
              </w:rPr>
              <w:t>15:30</w:t>
            </w:r>
          </w:p>
        </w:tc>
      </w:tr>
      <w:tr w:rsidR="00C83B52">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C83B5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C83B5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C83B52" w:rsidRDefault="00046FD1">
            <w:pPr>
              <w:spacing w:line="200" w:lineRule="exact"/>
            </w:pPr>
            <w:r>
              <w:rPr>
                <w:rFonts w:cs="宋体"/>
                <w:sz w:val="18"/>
                <w:szCs w:val="18"/>
              </w:rPr>
              <w:t>产品到期后，理财产品管理人和代销机构将根据理财资金所投资资产实际运作情况向投资者分配到期款项。</w:t>
            </w:r>
          </w:p>
        </w:tc>
      </w:tr>
      <w:tr w:rsidR="00C83B5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C83B52" w:rsidRDefault="00046FD1">
            <w:pPr>
              <w:spacing w:line="200" w:lineRule="exact"/>
              <w:jc w:val="left"/>
            </w:pPr>
            <w:r>
              <w:rPr>
                <w:rFonts w:cs="宋体"/>
                <w:sz w:val="18"/>
                <w:szCs w:val="18"/>
              </w:rPr>
              <w:t>分红权益登记日指管理人确认投资者所持份额是否享受本次分红的日期。</w:t>
            </w:r>
          </w:p>
        </w:tc>
      </w:tr>
      <w:tr w:rsidR="00C83B5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sz w:val="18"/>
                <w:szCs w:val="18"/>
              </w:rPr>
              <w:t>本理财产品募集的资金投资于以下金融资产和金融工具，包括但不限于：</w:t>
            </w:r>
          </w:p>
          <w:p w:rsidR="00C83B52" w:rsidRDefault="00046FD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C83B52" w:rsidRDefault="00046FD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C83B52" w:rsidRDefault="00046FD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C83B52" w:rsidRDefault="00046FD1">
            <w:pPr>
              <w:spacing w:line="200" w:lineRule="exact"/>
              <w:jc w:val="left"/>
            </w:pPr>
            <w:r>
              <w:rPr>
                <w:rFonts w:cs="宋体"/>
                <w:sz w:val="18"/>
                <w:szCs w:val="18"/>
              </w:rPr>
              <w:t>4.</w:t>
            </w:r>
            <w:r>
              <w:rPr>
                <w:rFonts w:cs="宋体"/>
                <w:sz w:val="18"/>
                <w:szCs w:val="18"/>
              </w:rPr>
              <w:t>股票、公募混合型或股票型证券投资基金等权益</w:t>
            </w:r>
            <w:r>
              <w:rPr>
                <w:rFonts w:cs="宋体"/>
                <w:sz w:val="18"/>
                <w:szCs w:val="18"/>
              </w:rPr>
              <w:t>类资产；</w:t>
            </w:r>
          </w:p>
          <w:p w:rsidR="00C83B52" w:rsidRDefault="00046FD1">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C83B52" w:rsidRDefault="00046FD1">
            <w:pPr>
              <w:spacing w:line="200" w:lineRule="exact"/>
              <w:jc w:val="left"/>
            </w:pPr>
            <w:r>
              <w:rPr>
                <w:rFonts w:cs="宋体"/>
                <w:sz w:val="18"/>
                <w:szCs w:val="18"/>
              </w:rPr>
              <w:t>6.</w:t>
            </w:r>
            <w:r>
              <w:rPr>
                <w:rFonts w:cs="宋体"/>
                <w:sz w:val="18"/>
                <w:szCs w:val="18"/>
              </w:rPr>
              <w:t>投资范围为上述资产的信托计划、资产管理计划等资产管理产品；</w:t>
            </w:r>
          </w:p>
          <w:p w:rsidR="00C83B52" w:rsidRDefault="00046FD1">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C83B52" w:rsidRDefault="00046FD1">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C83B5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本理财产品投资于固定收益类资产的比例低于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投资于权益类资产的比例不高于</w:t>
            </w:r>
            <w:r>
              <w:rPr>
                <w:rFonts w:cs="宋体"/>
                <w:sz w:val="18"/>
                <w:szCs w:val="18"/>
              </w:rPr>
              <w:t>50%</w:t>
            </w:r>
            <w:r>
              <w:rPr>
                <w:rFonts w:cs="宋体"/>
                <w:sz w:val="18"/>
                <w:szCs w:val="18"/>
              </w:rPr>
              <w:t>。</w:t>
            </w:r>
          </w:p>
          <w:p w:rsidR="00C83B52" w:rsidRDefault="00046FD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83B5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通过衡量和管理市场波动风险，通过固定收益类资产获取打底收益，动态确定或调整权益类资产和固定收益类资产的投资比例，力争在有效控制风险的前提下获取稳健收益。在行业配置上，本产品将注重传统和新兴行业间均衡配置；标的选择上，本理财产品将重点关注具备良好发展前景、商业模式优秀且竞争力突出的公司，通过持有优质公司获取企业业绩增长带来的回报，同时也关注低估值类型公司估值提升带来的机会。</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sz w:val="18"/>
                <w:szCs w:val="18"/>
              </w:rPr>
              <w:t>本理财产品业绩比较基准为：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年）指数收益率</w:t>
            </w:r>
            <w:r>
              <w:rPr>
                <w:rFonts w:cs="宋体"/>
                <w:sz w:val="18"/>
                <w:szCs w:val="18"/>
              </w:rPr>
              <w:t>×80%+</w:t>
            </w:r>
            <w:r>
              <w:rPr>
                <w:rFonts w:cs="宋体"/>
                <w:sz w:val="18"/>
                <w:szCs w:val="18"/>
              </w:rPr>
              <w:t>中证</w:t>
            </w:r>
            <w:r>
              <w:rPr>
                <w:rFonts w:cs="宋体"/>
                <w:sz w:val="18"/>
                <w:szCs w:val="18"/>
              </w:rPr>
              <w:t>800</w:t>
            </w:r>
            <w:r>
              <w:rPr>
                <w:rFonts w:cs="宋体"/>
                <w:sz w:val="18"/>
                <w:szCs w:val="18"/>
              </w:rPr>
              <w:t>指数收益率</w:t>
            </w:r>
            <w:r>
              <w:rPr>
                <w:rFonts w:cs="宋体"/>
                <w:sz w:val="18"/>
                <w:szCs w:val="18"/>
              </w:rPr>
              <w:t>×20%</w:t>
            </w:r>
            <w:r>
              <w:rPr>
                <w:rFonts w:cs="宋体"/>
                <w:sz w:val="18"/>
                <w:szCs w:val="18"/>
              </w:rPr>
              <w:t>。</w:t>
            </w:r>
          </w:p>
          <w:p w:rsidR="00C83B52" w:rsidRDefault="00C83B52">
            <w:pPr>
              <w:spacing w:line="200" w:lineRule="exact"/>
              <w:jc w:val="left"/>
            </w:pPr>
          </w:p>
          <w:p w:rsidR="00C83B52" w:rsidRDefault="00046FD1">
            <w:pPr>
              <w:spacing w:line="200" w:lineRule="exact"/>
              <w:jc w:val="left"/>
            </w:pPr>
            <w:r>
              <w:rPr>
                <w:rFonts w:cs="宋体"/>
                <w:sz w:val="18"/>
                <w:szCs w:val="18"/>
              </w:rPr>
              <w:t>注：</w:t>
            </w: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年）指数为中央国债登记结算有限责任</w:t>
            </w:r>
            <w:r>
              <w:rPr>
                <w:rFonts w:cs="宋体"/>
                <w:sz w:val="18"/>
                <w:szCs w:val="18"/>
              </w:rPr>
              <w:lastRenderedPageBreak/>
              <w:t>公司发布的债券指数，投资者可登陆中国债券信息网查询；中证</w:t>
            </w:r>
            <w:r>
              <w:rPr>
                <w:rFonts w:cs="宋体"/>
                <w:sz w:val="18"/>
                <w:szCs w:val="18"/>
              </w:rPr>
              <w:t>800</w:t>
            </w:r>
            <w:r>
              <w:rPr>
                <w:rFonts w:cs="宋体"/>
                <w:sz w:val="18"/>
                <w:szCs w:val="18"/>
              </w:rPr>
              <w:t>指数为中证指数有限公司发布的股票指数，投资者可登陆中证指数</w:t>
            </w:r>
            <w:proofErr w:type="gramStart"/>
            <w:r>
              <w:rPr>
                <w:rFonts w:cs="宋体"/>
                <w:sz w:val="18"/>
                <w:szCs w:val="18"/>
              </w:rPr>
              <w:t>有限公司官网查询</w:t>
            </w:r>
            <w:proofErr w:type="gramEnd"/>
            <w:r>
              <w:rPr>
                <w:rFonts w:cs="宋体"/>
                <w:sz w:val="18"/>
                <w:szCs w:val="18"/>
              </w:rPr>
              <w:t>。</w:t>
            </w:r>
          </w:p>
          <w:p w:rsidR="00C83B52" w:rsidRDefault="00046FD1">
            <w:pPr>
              <w:spacing w:line="200" w:lineRule="exact"/>
              <w:ind w:firstLine="360"/>
              <w:jc w:val="left"/>
            </w:pPr>
            <w:r>
              <w:rPr>
                <w:rFonts w:cs="宋体"/>
                <w:sz w:val="18"/>
                <w:szCs w:val="18"/>
              </w:rPr>
              <w:t>2.</w:t>
            </w:r>
            <w:r>
              <w:rPr>
                <w:rFonts w:cs="宋体"/>
                <w:sz w:val="18"/>
                <w:szCs w:val="18"/>
              </w:rPr>
              <w:t>在某一观察期内，以上指数收益率（年化）的计算方式为：（观察期末日的指数收盘价</w:t>
            </w:r>
            <w:r>
              <w:rPr>
                <w:rFonts w:cs="宋体"/>
                <w:sz w:val="18"/>
                <w:szCs w:val="18"/>
              </w:rPr>
              <w:t>÷</w:t>
            </w:r>
            <w:r>
              <w:rPr>
                <w:rFonts w:cs="宋体"/>
                <w:sz w:val="18"/>
                <w:szCs w:val="18"/>
              </w:rPr>
              <w:t>观察期首日前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proofErr w:type="gramStart"/>
            <w:r>
              <w:rPr>
                <w:rFonts w:cs="宋体"/>
                <w:sz w:val="18"/>
                <w:szCs w:val="18"/>
              </w:rPr>
              <w:t>该观察</w:t>
            </w:r>
            <w:proofErr w:type="gramEnd"/>
            <w:r>
              <w:rPr>
                <w:rFonts w:cs="宋体"/>
                <w:sz w:val="18"/>
                <w:szCs w:val="18"/>
              </w:rPr>
              <w:t>期天数</w:t>
            </w:r>
            <w:r>
              <w:rPr>
                <w:rFonts w:cs="宋体"/>
                <w:sz w:val="18"/>
                <w:szCs w:val="18"/>
              </w:rPr>
              <w:t>×365</w:t>
            </w:r>
            <w:r>
              <w:rPr>
                <w:rFonts w:cs="宋体"/>
                <w:sz w:val="18"/>
                <w:szCs w:val="18"/>
              </w:rPr>
              <w:t>天。</w:t>
            </w:r>
          </w:p>
          <w:p w:rsidR="00C83B52" w:rsidRDefault="00046FD1">
            <w:pPr>
              <w:spacing w:line="200" w:lineRule="exact"/>
              <w:ind w:firstLine="360"/>
              <w:jc w:val="left"/>
            </w:pPr>
            <w:r>
              <w:rPr>
                <w:rFonts w:cs="宋体"/>
                <w:sz w:val="18"/>
                <w:szCs w:val="18"/>
              </w:rPr>
              <w:t>3.</w:t>
            </w:r>
            <w:r>
              <w:rPr>
                <w:rFonts w:cs="宋体"/>
                <w:sz w:val="18"/>
                <w:szCs w:val="18"/>
              </w:rPr>
              <w:t>管理人将在本理财产品定期报告中对以上业绩比较基准进行跟踪和披露。</w:t>
            </w:r>
          </w:p>
          <w:p w:rsidR="00C83B52" w:rsidRDefault="00046FD1">
            <w:pPr>
              <w:spacing w:line="200" w:lineRule="exact"/>
              <w:jc w:val="left"/>
            </w:pPr>
            <w:r>
              <w:rPr>
                <w:rFonts w:cs="宋体"/>
                <w:sz w:val="18"/>
                <w:szCs w:val="18"/>
              </w:rPr>
              <w:t xml:space="preserve">  4.</w:t>
            </w:r>
            <w:r>
              <w:rPr>
                <w:rFonts w:cs="宋体"/>
                <w:sz w:val="18"/>
                <w:szCs w:val="18"/>
              </w:rPr>
              <w:t>管理人可根据市场情况对业绩比较基准进行适当调整，如有调整，将至少于调整前</w:t>
            </w:r>
            <w:r>
              <w:rPr>
                <w:rFonts w:cs="宋体"/>
                <w:sz w:val="18"/>
                <w:szCs w:val="18"/>
              </w:rPr>
              <w:t>3</w:t>
            </w:r>
            <w:r>
              <w:rPr>
                <w:rFonts w:cs="宋体"/>
                <w:sz w:val="18"/>
                <w:szCs w:val="18"/>
              </w:rPr>
              <w:t>个工作日公布调整方案。</w:t>
            </w:r>
          </w:p>
          <w:p w:rsidR="00C83B52" w:rsidRDefault="00046FD1">
            <w:pPr>
              <w:spacing w:line="200" w:lineRule="exact"/>
              <w:ind w:firstLine="360"/>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，投资于权益类资产的比例不高于</w:t>
            </w:r>
            <w:r>
              <w:rPr>
                <w:rFonts w:cs="宋体"/>
                <w:sz w:val="18"/>
                <w:szCs w:val="18"/>
              </w:rPr>
              <w:t>50%</w:t>
            </w:r>
            <w:r>
              <w:rPr>
                <w:rFonts w:cs="宋体"/>
                <w:sz w:val="18"/>
                <w:szCs w:val="18"/>
              </w:rPr>
              <w:t>。结合债券市场、权益市场的收益和波动水平，在本理财产品约定的投资策略基础上，管理人设定了本理财产品投资周期内业绩比较基准。</w:t>
            </w:r>
          </w:p>
          <w:p w:rsidR="00C83B52" w:rsidRDefault="00046FD1">
            <w:pPr>
              <w:spacing w:line="200" w:lineRule="exact"/>
            </w:pPr>
            <w:r>
              <w:rPr>
                <w:rFonts w:cs="宋体"/>
                <w:b/>
                <w:sz w:val="18"/>
                <w:szCs w:val="18"/>
              </w:rPr>
              <w:t>本理财产品为净值型理财产品，业绩比较基准不是预</w:t>
            </w:r>
            <w:r>
              <w:rPr>
                <w:rFonts w:cs="宋体"/>
                <w:b/>
                <w:sz w:val="18"/>
                <w:szCs w:val="18"/>
              </w:rPr>
              <w:t>期收益率，不代表产品的未来表现和实际收益，不构成对产品收益的承诺。</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C83B52" w:rsidRDefault="00046FD1">
            <w:pPr>
              <w:spacing w:line="200" w:lineRule="exact"/>
            </w:pPr>
            <w:r>
              <w:rPr>
                <w:rFonts w:cs="宋体"/>
                <w:b/>
                <w:sz w:val="18"/>
                <w:szCs w:val="18"/>
              </w:rPr>
              <w:t>赎回费：本理财产品暂不收取赎回费。</w:t>
            </w:r>
          </w:p>
          <w:p w:rsidR="00C83B52" w:rsidRDefault="00046FD1">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的销售费，按日计提。</w:t>
            </w:r>
          </w:p>
          <w:p w:rsidR="00C83B52" w:rsidRDefault="00046FD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C83B52" w:rsidRDefault="00046FD1">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1%</w:t>
            </w:r>
            <w:r>
              <w:rPr>
                <w:rFonts w:cs="宋体"/>
                <w:b/>
                <w:sz w:val="18"/>
                <w:szCs w:val="18"/>
              </w:rPr>
              <w:t>的固定管理费，按日计提。</w:t>
            </w:r>
          </w:p>
          <w:p w:rsidR="00C83B52" w:rsidRDefault="00046FD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C83B52" w:rsidRDefault="00046FD1">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C83B52" w:rsidRDefault="00046FD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C83B52" w:rsidRDefault="00046FD1">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4.5%</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C83B52" w:rsidRDefault="00046FD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C83B5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color w:val="000000"/>
                <w:sz w:val="18"/>
                <w:szCs w:val="18"/>
              </w:rPr>
              <w:t>具体参见本理财产品风险揭示书。</w:t>
            </w:r>
          </w:p>
          <w:p w:rsidR="00C83B52" w:rsidRDefault="00046FD1">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C83B52" w:rsidRDefault="00046FD1">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C83B52" w:rsidRDefault="00046FD1">
            <w:pPr>
              <w:spacing w:line="200" w:lineRule="exact"/>
              <w:jc w:val="left"/>
            </w:pPr>
            <w:r>
              <w:rPr>
                <w:rFonts w:cs="宋体"/>
                <w:color w:val="000000"/>
                <w:sz w:val="18"/>
                <w:szCs w:val="18"/>
              </w:rPr>
              <w:t>二是为应对投资者的赎回，被迫以不适当的价格卖出债券或赎回基金；</w:t>
            </w:r>
          </w:p>
          <w:p w:rsidR="00C83B52" w:rsidRDefault="00046FD1">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C83B52" w:rsidRDefault="00046FD1">
            <w:pPr>
              <w:spacing w:line="200" w:lineRule="exact"/>
              <w:jc w:val="left"/>
            </w:pPr>
            <w:r>
              <w:rPr>
                <w:rFonts w:cs="宋体"/>
                <w:color w:val="000000"/>
                <w:sz w:val="18"/>
                <w:szCs w:val="18"/>
              </w:rPr>
              <w:t>以上情形均可能使产品净值受到不利影响。</w:t>
            </w:r>
          </w:p>
        </w:tc>
      </w:tr>
      <w:tr w:rsidR="00C83B5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C83B52" w:rsidRDefault="00046FD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C83B52" w:rsidRDefault="00046FD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C83B52" w:rsidRDefault="00046FD1">
            <w:pPr>
              <w:spacing w:line="200" w:lineRule="exact"/>
              <w:jc w:val="left"/>
            </w:pPr>
            <w:r>
              <w:rPr>
                <w:rFonts w:cs="宋体"/>
                <w:color w:val="000000"/>
                <w:sz w:val="18"/>
                <w:szCs w:val="18"/>
              </w:rPr>
              <w:t>3</w:t>
            </w:r>
            <w:r>
              <w:rPr>
                <w:rFonts w:cs="宋体"/>
                <w:color w:val="000000"/>
                <w:sz w:val="18"/>
                <w:szCs w:val="18"/>
              </w:rPr>
              <w:t>.</w:t>
            </w:r>
            <w:r>
              <w:rPr>
                <w:rFonts w:cs="宋体"/>
                <w:color w:val="000000"/>
                <w:sz w:val="18"/>
                <w:szCs w:val="18"/>
              </w:rPr>
              <w:t>按照法律法规、监管规定及与投资者约定的信息披露渠道及时披露理财产品相关信息；</w:t>
            </w:r>
          </w:p>
          <w:p w:rsidR="00C83B52" w:rsidRDefault="00046FD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C83B52" w:rsidRDefault="00046FD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C83B52" w:rsidRDefault="00046FD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C83B52" w:rsidRDefault="00046FD1">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C83B52" w:rsidRDefault="00046FD1">
            <w:pPr>
              <w:spacing w:line="200" w:lineRule="exact"/>
              <w:jc w:val="left"/>
            </w:pPr>
            <w:r>
              <w:rPr>
                <w:rFonts w:cs="宋体"/>
                <w:sz w:val="18"/>
                <w:szCs w:val="18"/>
              </w:rPr>
              <w:t>销售机构主要职责如下：</w:t>
            </w:r>
          </w:p>
          <w:p w:rsidR="00C83B52" w:rsidRDefault="00046FD1">
            <w:pPr>
              <w:spacing w:line="200" w:lineRule="exact"/>
              <w:jc w:val="left"/>
            </w:pPr>
            <w:r>
              <w:rPr>
                <w:rFonts w:cs="宋体"/>
                <w:sz w:val="18"/>
                <w:szCs w:val="18"/>
              </w:rPr>
              <w:lastRenderedPageBreak/>
              <w:t>1.</w:t>
            </w:r>
            <w:r>
              <w:rPr>
                <w:rFonts w:cs="宋体"/>
                <w:sz w:val="18"/>
                <w:szCs w:val="18"/>
              </w:rPr>
              <w:t>按照法律法规、监管规定及理财产品销售文件的约定，开展理财产品销售活动，向投资者充分披露信息和揭示风险；</w:t>
            </w:r>
          </w:p>
          <w:p w:rsidR="00C83B52" w:rsidRDefault="00046FD1">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C83B52" w:rsidRDefault="00046FD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C83B52" w:rsidRDefault="00046FD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C83B52" w:rsidRDefault="00046FD1">
            <w:pPr>
              <w:spacing w:line="200" w:lineRule="exact"/>
              <w:jc w:val="left"/>
            </w:pPr>
            <w:r>
              <w:rPr>
                <w:rFonts w:cs="宋体"/>
                <w:sz w:val="18"/>
                <w:szCs w:val="18"/>
              </w:rPr>
              <w:t>5.</w:t>
            </w:r>
            <w:r>
              <w:rPr>
                <w:rFonts w:cs="宋体"/>
                <w:sz w:val="18"/>
                <w:szCs w:val="18"/>
              </w:rPr>
              <w:t>建立健全投资者权益保护管理体系，加强投资者适当性管理；</w:t>
            </w:r>
          </w:p>
          <w:p w:rsidR="00C83B52" w:rsidRDefault="00046FD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C83B5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本理财产品托管人为南京银行股份有限公司，主要职责如下：</w:t>
            </w:r>
          </w:p>
          <w:p w:rsidR="00C83B52" w:rsidRDefault="00046FD1">
            <w:pPr>
              <w:spacing w:line="200" w:lineRule="exact"/>
            </w:pPr>
            <w:r>
              <w:rPr>
                <w:rFonts w:cs="宋体"/>
                <w:sz w:val="18"/>
                <w:szCs w:val="18"/>
              </w:rPr>
              <w:t>1.</w:t>
            </w:r>
            <w:r>
              <w:rPr>
                <w:rFonts w:cs="宋体"/>
                <w:sz w:val="18"/>
                <w:szCs w:val="18"/>
              </w:rPr>
              <w:t>安全保管理财产品财产；</w:t>
            </w:r>
          </w:p>
          <w:p w:rsidR="00C83B52" w:rsidRDefault="00046FD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C83B52" w:rsidRDefault="00046FD1">
            <w:pPr>
              <w:spacing w:line="200" w:lineRule="exact"/>
            </w:pPr>
            <w:r>
              <w:rPr>
                <w:rFonts w:cs="宋体"/>
                <w:sz w:val="18"/>
                <w:szCs w:val="18"/>
              </w:rPr>
              <w:t>3.</w:t>
            </w:r>
            <w:r>
              <w:rPr>
                <w:rFonts w:cs="宋体"/>
                <w:sz w:val="18"/>
                <w:szCs w:val="18"/>
              </w:rPr>
              <w:t>按照托管协议约定和管理人的投资指令，及时办理清算、交割事宜；</w:t>
            </w:r>
          </w:p>
          <w:p w:rsidR="00C83B52" w:rsidRDefault="00046FD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C83B52" w:rsidRDefault="00046FD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C83B52" w:rsidRDefault="00046FD1">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83B52" w:rsidRDefault="00046FD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C83B52" w:rsidRDefault="00046FD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C83B52" w:rsidRDefault="00046FD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C83B52">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合作机构为广发基金管理有限公司、华宝基金管理有限公司、华夏基金管理有限公司、南方基金管理股份有限公司，上述投资合作机构主要职责对应如下，具体职责以管理人与投资合作机构签署的合同为准。</w:t>
            </w:r>
          </w:p>
          <w:p w:rsidR="00C83B52" w:rsidRDefault="00046FD1">
            <w:pPr>
              <w:spacing w:line="200" w:lineRule="exact"/>
            </w:pPr>
            <w:r>
              <w:rPr>
                <w:rFonts w:cs="宋体"/>
                <w:sz w:val="18"/>
                <w:szCs w:val="18"/>
              </w:rPr>
              <w:t>合作机构为理财产品所投资资产管理产品的发行机构，主要承担资产管理产品的管理人职责：广发基金管理有限公司、华宝基金管理有限公司、华夏基金管理有限公司、南方基金管理股份有限公司。</w:t>
            </w:r>
          </w:p>
          <w:p w:rsidR="00C83B52" w:rsidRDefault="00046FD1">
            <w:pPr>
              <w:spacing w:line="200" w:lineRule="exact"/>
            </w:pPr>
            <w:r>
              <w:rPr>
                <w:rFonts w:cs="宋体"/>
                <w:sz w:val="18"/>
                <w:szCs w:val="18"/>
              </w:rPr>
              <w:t>若上述合作机构及其职责发生调整，管理人将在本理财产品的定期报告中进行信息披露。</w:t>
            </w:r>
          </w:p>
          <w:p w:rsidR="00C83B52" w:rsidRDefault="00046FD1">
            <w:pPr>
              <w:spacing w:line="200" w:lineRule="exact"/>
            </w:pPr>
            <w:r>
              <w:rPr>
                <w:rFonts w:cs="宋体"/>
                <w:sz w:val="18"/>
                <w:szCs w:val="18"/>
              </w:rPr>
              <w:t>上述投资合作机构简介：</w:t>
            </w:r>
          </w:p>
          <w:p w:rsidR="00C83B52" w:rsidRDefault="00046FD1">
            <w:pPr>
              <w:spacing w:line="200" w:lineRule="exact"/>
            </w:pPr>
            <w:r>
              <w:rPr>
                <w:rFonts w:cs="宋体"/>
                <w:sz w:val="18"/>
                <w:szCs w:val="18"/>
              </w:rPr>
              <w:t>广发基金管理有限公司成立于</w:t>
            </w:r>
            <w:r>
              <w:rPr>
                <w:rFonts w:cs="宋体"/>
                <w:sz w:val="18"/>
                <w:szCs w:val="18"/>
              </w:rPr>
              <w:t>2003</w:t>
            </w:r>
            <w:r>
              <w:rPr>
                <w:rFonts w:cs="宋体"/>
                <w:sz w:val="18"/>
                <w:szCs w:val="18"/>
              </w:rPr>
              <w:t>年</w:t>
            </w:r>
            <w:r>
              <w:rPr>
                <w:rFonts w:cs="宋体"/>
                <w:sz w:val="18"/>
                <w:szCs w:val="18"/>
              </w:rPr>
              <w:t>05</w:t>
            </w:r>
            <w:r>
              <w:rPr>
                <w:rFonts w:cs="宋体"/>
                <w:sz w:val="18"/>
                <w:szCs w:val="18"/>
              </w:rPr>
              <w:t>月</w:t>
            </w:r>
            <w:r>
              <w:rPr>
                <w:rFonts w:cs="宋体"/>
                <w:sz w:val="18"/>
                <w:szCs w:val="18"/>
              </w:rPr>
              <w:t>05</w:t>
            </w:r>
            <w:r>
              <w:rPr>
                <w:rFonts w:cs="宋体"/>
                <w:sz w:val="18"/>
                <w:szCs w:val="18"/>
              </w:rPr>
              <w:t>日，注册资本金</w:t>
            </w:r>
            <w:r>
              <w:rPr>
                <w:rFonts w:cs="宋体"/>
                <w:sz w:val="18"/>
                <w:szCs w:val="18"/>
              </w:rPr>
              <w:t>1.27</w:t>
            </w:r>
            <w:r>
              <w:rPr>
                <w:rFonts w:cs="宋体"/>
                <w:sz w:val="18"/>
                <w:szCs w:val="18"/>
              </w:rPr>
              <w:t>亿元。</w:t>
            </w:r>
          </w:p>
          <w:p w:rsidR="00C83B52" w:rsidRDefault="00046FD1">
            <w:pPr>
              <w:spacing w:line="200" w:lineRule="exact"/>
            </w:pPr>
            <w:r>
              <w:rPr>
                <w:rFonts w:cs="宋体"/>
                <w:sz w:val="18"/>
                <w:szCs w:val="18"/>
              </w:rPr>
              <w:t>华宝基金管理有限公司成立于</w:t>
            </w:r>
            <w:r>
              <w:rPr>
                <w:rFonts w:cs="宋体"/>
                <w:sz w:val="18"/>
                <w:szCs w:val="18"/>
              </w:rPr>
              <w:t>2003</w:t>
            </w:r>
            <w:r>
              <w:rPr>
                <w:rFonts w:cs="宋体"/>
                <w:sz w:val="18"/>
                <w:szCs w:val="18"/>
              </w:rPr>
              <w:t>年</w:t>
            </w:r>
            <w:r>
              <w:rPr>
                <w:rFonts w:cs="宋体"/>
                <w:sz w:val="18"/>
                <w:szCs w:val="18"/>
              </w:rPr>
              <w:t>03</w:t>
            </w:r>
            <w:r>
              <w:rPr>
                <w:rFonts w:cs="宋体"/>
                <w:sz w:val="18"/>
                <w:szCs w:val="18"/>
              </w:rPr>
              <w:t>月</w:t>
            </w:r>
            <w:r>
              <w:rPr>
                <w:rFonts w:cs="宋体"/>
                <w:sz w:val="18"/>
                <w:szCs w:val="18"/>
              </w:rPr>
              <w:t>07</w:t>
            </w:r>
            <w:r>
              <w:rPr>
                <w:rFonts w:cs="宋体"/>
                <w:sz w:val="18"/>
                <w:szCs w:val="18"/>
              </w:rPr>
              <w:t>日，注册资本金</w:t>
            </w:r>
            <w:r>
              <w:rPr>
                <w:rFonts w:cs="宋体"/>
                <w:sz w:val="18"/>
                <w:szCs w:val="18"/>
              </w:rPr>
              <w:t>1.5</w:t>
            </w:r>
            <w:r>
              <w:rPr>
                <w:rFonts w:cs="宋体"/>
                <w:sz w:val="18"/>
                <w:szCs w:val="18"/>
              </w:rPr>
              <w:t>亿元。</w:t>
            </w:r>
          </w:p>
          <w:p w:rsidR="00C83B52" w:rsidRDefault="00046FD1">
            <w:pPr>
              <w:spacing w:line="200" w:lineRule="exact"/>
            </w:pPr>
            <w:r>
              <w:rPr>
                <w:rFonts w:cs="宋体"/>
                <w:sz w:val="18"/>
                <w:szCs w:val="18"/>
              </w:rPr>
              <w:t>华夏基金管理有限公司成立于</w:t>
            </w:r>
            <w:r>
              <w:rPr>
                <w:rFonts w:cs="宋体"/>
                <w:sz w:val="18"/>
                <w:szCs w:val="18"/>
              </w:rPr>
              <w:t>1998</w:t>
            </w:r>
            <w:r>
              <w:rPr>
                <w:rFonts w:cs="宋体"/>
                <w:sz w:val="18"/>
                <w:szCs w:val="18"/>
              </w:rPr>
              <w:t>年</w:t>
            </w:r>
            <w:r>
              <w:rPr>
                <w:rFonts w:cs="宋体"/>
                <w:sz w:val="18"/>
                <w:szCs w:val="18"/>
              </w:rPr>
              <w:t>04</w:t>
            </w:r>
            <w:r>
              <w:rPr>
                <w:rFonts w:cs="宋体"/>
                <w:sz w:val="18"/>
                <w:szCs w:val="18"/>
              </w:rPr>
              <w:t>月</w:t>
            </w:r>
            <w:r>
              <w:rPr>
                <w:rFonts w:cs="宋体"/>
                <w:sz w:val="18"/>
                <w:szCs w:val="18"/>
              </w:rPr>
              <w:t>09</w:t>
            </w:r>
            <w:r>
              <w:rPr>
                <w:rFonts w:cs="宋体"/>
                <w:sz w:val="18"/>
                <w:szCs w:val="18"/>
              </w:rPr>
              <w:t>日，注册资本金</w:t>
            </w:r>
            <w:r>
              <w:rPr>
                <w:rFonts w:cs="宋体"/>
                <w:sz w:val="18"/>
                <w:szCs w:val="18"/>
              </w:rPr>
              <w:t>2.38</w:t>
            </w:r>
            <w:r>
              <w:rPr>
                <w:rFonts w:cs="宋体"/>
                <w:sz w:val="18"/>
                <w:szCs w:val="18"/>
              </w:rPr>
              <w:t>亿元。</w:t>
            </w:r>
          </w:p>
          <w:p w:rsidR="00C83B52" w:rsidRDefault="00046FD1">
            <w:pPr>
              <w:spacing w:line="200" w:lineRule="exact"/>
            </w:pPr>
            <w:r>
              <w:rPr>
                <w:rFonts w:cs="宋体"/>
                <w:sz w:val="18"/>
                <w:szCs w:val="18"/>
              </w:rPr>
              <w:t>南方基金管理股份有限公司成立于</w:t>
            </w:r>
            <w:r>
              <w:rPr>
                <w:rFonts w:cs="宋体"/>
                <w:sz w:val="18"/>
                <w:szCs w:val="18"/>
              </w:rPr>
              <w:t>1998</w:t>
            </w:r>
            <w:r>
              <w:rPr>
                <w:rFonts w:cs="宋体"/>
                <w:sz w:val="18"/>
                <w:szCs w:val="18"/>
              </w:rPr>
              <w:t>年</w:t>
            </w:r>
            <w:r>
              <w:rPr>
                <w:rFonts w:cs="宋体"/>
                <w:sz w:val="18"/>
                <w:szCs w:val="18"/>
              </w:rPr>
              <w:t>03</w:t>
            </w:r>
            <w:r>
              <w:rPr>
                <w:rFonts w:cs="宋体"/>
                <w:sz w:val="18"/>
                <w:szCs w:val="18"/>
              </w:rPr>
              <w:t>月</w:t>
            </w:r>
            <w:r>
              <w:rPr>
                <w:rFonts w:cs="宋体"/>
                <w:sz w:val="18"/>
                <w:szCs w:val="18"/>
              </w:rPr>
              <w:t>06</w:t>
            </w:r>
            <w:r>
              <w:rPr>
                <w:rFonts w:cs="宋体"/>
                <w:sz w:val="18"/>
                <w:szCs w:val="18"/>
              </w:rPr>
              <w:t>日，注册资本金</w:t>
            </w:r>
            <w:r>
              <w:rPr>
                <w:rFonts w:cs="宋体"/>
                <w:sz w:val="18"/>
                <w:szCs w:val="18"/>
              </w:rPr>
              <w:t>3.62</w:t>
            </w:r>
            <w:r>
              <w:rPr>
                <w:rFonts w:cs="宋体"/>
                <w:sz w:val="18"/>
                <w:szCs w:val="18"/>
              </w:rPr>
              <w:t>亿元。</w:t>
            </w:r>
          </w:p>
        </w:tc>
      </w:tr>
      <w:tr w:rsidR="00C83B5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C83B52" w:rsidRDefault="00046FD1">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C83B52" w:rsidRDefault="00046FD1">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w:t>
            </w:r>
            <w:r>
              <w:rPr>
                <w:rFonts w:cs="宋体"/>
                <w:color w:val="000000"/>
                <w:sz w:val="18"/>
                <w:szCs w:val="18"/>
              </w:rPr>
              <w:t>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C83B52" w:rsidRDefault="00046FD1">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C83B52" w:rsidRDefault="00046FD1">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C83B52" w:rsidRDefault="00046FD1">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w:t>
            </w:r>
            <w:r>
              <w:rPr>
                <w:rFonts w:cs="宋体"/>
                <w:color w:val="000000"/>
                <w:sz w:val="18"/>
                <w:szCs w:val="18"/>
              </w:rPr>
              <w:t>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w:t>
            </w:r>
            <w:r>
              <w:rPr>
                <w:rFonts w:cs="宋体"/>
                <w:color w:val="000000"/>
                <w:sz w:val="18"/>
                <w:szCs w:val="18"/>
              </w:rPr>
              <w:lastRenderedPageBreak/>
              <w:t>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C83B5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C83B5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发生下列情形时，管理人可暂停接受投资者认申购申请：</w:t>
            </w:r>
          </w:p>
          <w:p w:rsidR="00C83B52" w:rsidRDefault="00046FD1">
            <w:pPr>
              <w:spacing w:line="200" w:lineRule="exact"/>
            </w:pPr>
            <w:r>
              <w:rPr>
                <w:rFonts w:cs="宋体"/>
                <w:sz w:val="18"/>
                <w:szCs w:val="18"/>
              </w:rPr>
              <w:t>1.</w:t>
            </w:r>
            <w:r>
              <w:rPr>
                <w:rFonts w:cs="宋体"/>
                <w:sz w:val="18"/>
                <w:szCs w:val="18"/>
              </w:rPr>
              <w:t>因不可抗力导致理财产品无法正常运作；</w:t>
            </w:r>
          </w:p>
          <w:p w:rsidR="00C83B52" w:rsidRDefault="00046FD1">
            <w:pPr>
              <w:spacing w:line="200" w:lineRule="exact"/>
            </w:pPr>
            <w:r>
              <w:rPr>
                <w:rFonts w:cs="宋体"/>
                <w:sz w:val="18"/>
                <w:szCs w:val="18"/>
              </w:rPr>
              <w:t>2.</w:t>
            </w:r>
            <w:r>
              <w:rPr>
                <w:rFonts w:cs="宋体"/>
                <w:sz w:val="18"/>
                <w:szCs w:val="18"/>
              </w:rPr>
              <w:t>因监管政策、市场发生重大变化，导致理财产品无法正常运作；</w:t>
            </w:r>
          </w:p>
          <w:p w:rsidR="00C83B52" w:rsidRDefault="00046FD1">
            <w:pPr>
              <w:spacing w:line="200" w:lineRule="exact"/>
            </w:pPr>
            <w:r>
              <w:rPr>
                <w:rFonts w:cs="宋体"/>
                <w:sz w:val="18"/>
                <w:szCs w:val="18"/>
              </w:rPr>
              <w:t>3.</w:t>
            </w:r>
            <w:r>
              <w:rPr>
                <w:rFonts w:cs="宋体"/>
                <w:sz w:val="18"/>
                <w:szCs w:val="18"/>
              </w:rPr>
              <w:t>管理人认为需要暂停认申购的其他情形。</w:t>
            </w:r>
          </w:p>
          <w:p w:rsidR="00C83B52" w:rsidRDefault="00046FD1">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C83B5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C83B52" w:rsidRDefault="00046FD1">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C83B5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C83B52" w:rsidRDefault="00046FD1">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C83B52" w:rsidRDefault="00046FD1">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C83B52" w:rsidRDefault="00046FD1">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C83B5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83B52" w:rsidRDefault="00046FD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C83B52" w:rsidRDefault="00046FD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C83B52" w:rsidRDefault="00046FD1">
      <w:pPr>
        <w:pStyle w:val="Normal8ca8340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83B52" w:rsidRDefault="00046FD1">
      <w:pPr>
        <w:pStyle w:val="Normal04e9aba404e9aba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C83B52" w:rsidRDefault="00046FD1">
      <w:pPr>
        <w:pStyle w:val="Normal04e9aba404e9aba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83B52" w:rsidRDefault="00046FD1">
      <w:pPr>
        <w:pStyle w:val="Normal04e9aba404e9ab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C83B52" w:rsidRDefault="00046FD1">
      <w:pPr>
        <w:pStyle w:val="Normal04e9aba404e9aba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C83B52" w:rsidRDefault="00046FD1">
      <w:pPr>
        <w:pStyle w:val="Normal04e9aba404e9ab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83B52" w:rsidRDefault="00046FD1">
      <w:pPr>
        <w:pStyle w:val="Normal04e9aba404e9ab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C83B52" w:rsidRDefault="00046FD1">
      <w:pPr>
        <w:pStyle w:val="Normal04e9aba404e9ab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83B52" w:rsidRDefault="00046FD1">
      <w:pPr>
        <w:pStyle w:val="Normal04e9aba404e9aba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理财盈瑞灵活</w:t>
      </w:r>
      <w:proofErr w:type="gramEnd"/>
      <w:r>
        <w:rPr>
          <w:b/>
          <w:bCs/>
          <w:color w:val="3D3D3D"/>
          <w:kern w:val="0"/>
          <w:sz w:val="15"/>
          <w:szCs w:val="15"/>
        </w:rPr>
        <w:t>价值精选两年定开</w:t>
      </w:r>
      <w:r>
        <w:rPr>
          <w:b/>
          <w:bCs/>
          <w:color w:val="3D3D3D"/>
          <w:kern w:val="0"/>
          <w:sz w:val="15"/>
          <w:szCs w:val="15"/>
        </w:rPr>
        <w:t>2022</w:t>
      </w:r>
      <w:r>
        <w:rPr>
          <w:b/>
          <w:bCs/>
          <w:color w:val="3D3D3D"/>
          <w:kern w:val="0"/>
          <w:sz w:val="15"/>
          <w:szCs w:val="15"/>
        </w:rPr>
        <w:t>第</w:t>
      </w:r>
      <w:r>
        <w:rPr>
          <w:b/>
          <w:bCs/>
          <w:color w:val="3D3D3D"/>
          <w:kern w:val="0"/>
          <w:sz w:val="15"/>
          <w:szCs w:val="15"/>
        </w:rPr>
        <w:t>1</w:t>
      </w:r>
      <w:r>
        <w:rPr>
          <w:b/>
          <w:bCs/>
          <w:color w:val="3D3D3D"/>
          <w:kern w:val="0"/>
          <w:sz w:val="15"/>
          <w:szCs w:val="15"/>
        </w:rPr>
        <w:t>期公募人民币理财产品</w:t>
      </w:r>
      <w:r>
        <w:rPr>
          <w:rFonts w:hint="eastAsia"/>
          <w:color w:val="3D3D3D"/>
          <w:kern w:val="0"/>
          <w:sz w:val="15"/>
          <w:szCs w:val="15"/>
        </w:rPr>
        <w:t>。</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C83B52" w:rsidRDefault="00046FD1">
      <w:pPr>
        <w:pStyle w:val="Normal04e9aba404e9aba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C83B52" w:rsidRDefault="00046FD1">
      <w:pPr>
        <w:pStyle w:val="Normal04e9aba404e9aba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C83B52" w:rsidRDefault="00046FD1">
      <w:pPr>
        <w:pStyle w:val="Normal04e9aba404e9ab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83B52" w:rsidRDefault="00046FD1">
      <w:pPr>
        <w:pStyle w:val="Normal04e9aba404e9aba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83B52" w:rsidRDefault="00046FD1">
      <w:pPr>
        <w:pStyle w:val="1b14e2275b14e22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C83B52" w:rsidRDefault="00046FD1">
      <w:pPr>
        <w:pStyle w:val="1b14e2275b14e22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83B52" w:rsidRDefault="00046FD1">
      <w:pPr>
        <w:pStyle w:val="1b14e2275b14e22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83B52" w:rsidRDefault="00046FD1">
      <w:pPr>
        <w:pStyle w:val="1b14e2275b14e22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83B52" w:rsidRDefault="00046FD1">
      <w:pPr>
        <w:pStyle w:val="1b14e2275b14e22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83B52" w:rsidRDefault="00046FD1">
      <w:pPr>
        <w:pStyle w:val="1b14e2275b14e22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C83B52" w:rsidRDefault="00046FD1">
      <w:pPr>
        <w:pStyle w:val="Normal04e9aba404e9aba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C83B52" w:rsidRDefault="00046FD1">
      <w:pPr>
        <w:pStyle w:val="Normal04e9aba404e9aba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C83B52" w:rsidRDefault="00046FD1">
      <w:pPr>
        <w:pStyle w:val="Normal04e9aba404e9aba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C83B52" w:rsidRDefault="00046FD1">
      <w:pPr>
        <w:pStyle w:val="Normal8ca8340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C83B52" w:rsidRDefault="00046FD1">
      <w:pPr>
        <w:spacing w:line="200" w:lineRule="exact"/>
        <w:ind w:firstLine="280"/>
        <w:jc w:val="left"/>
      </w:pPr>
      <w:r>
        <w:rPr>
          <w:rFonts w:cs="宋体"/>
          <w:sz w:val="15"/>
          <w:szCs w:val="20"/>
        </w:rPr>
        <w:t>假设：投资者投资本理财产品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C83B52" w:rsidRDefault="00046FD1">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C83B52" w:rsidRDefault="00046FD1">
      <w:pPr>
        <w:spacing w:line="200" w:lineRule="exact"/>
      </w:pPr>
      <w:r>
        <w:rPr>
          <w:rFonts w:cs="宋体"/>
          <w:sz w:val="15"/>
          <w:szCs w:val="20"/>
        </w:rPr>
        <w:t xml:space="preserve"> </w:t>
      </w:r>
      <w:r>
        <w:rPr>
          <w:rFonts w:cs="宋体"/>
          <w:sz w:val="15"/>
          <w:szCs w:val="20"/>
        </w:rPr>
        <w:t>情景示例二：产品实际到期日，扣除所有税费后（如有业绩报酬，已扣除）的期末产品每份额净值为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C83B52" w:rsidRDefault="00046FD1">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C83B52" w:rsidRDefault="00046FD1">
      <w:pPr>
        <w:pStyle w:val="Normal8ca83400"/>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w:t>
      </w:r>
      <w:r>
        <w:rPr>
          <w:rFonts w:hint="eastAsia"/>
          <w:b/>
          <w:bCs/>
          <w:kern w:val="0"/>
          <w:sz w:val="15"/>
          <w:szCs w:val="15"/>
        </w:rPr>
        <w:t>按本理财产品说明书约定计算并向投资者实际支付为准，敬请投资者仔细判别。</w:t>
      </w:r>
    </w:p>
    <w:p w:rsidR="00C83B52" w:rsidRDefault="00046FD1">
      <w:pPr>
        <w:pStyle w:val="Normal8ca83400"/>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83B52" w:rsidRDefault="00046FD1">
      <w:pPr>
        <w:pStyle w:val="Normal8ca8340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C83B52" w:rsidRDefault="00046FD1">
      <w:pPr>
        <w:spacing w:line="200" w:lineRule="exact"/>
        <w:ind w:firstLine="300"/>
      </w:pPr>
      <w:r>
        <w:rPr>
          <w:rFonts w:cs="宋体"/>
          <w:sz w:val="15"/>
          <w:szCs w:val="20"/>
        </w:rPr>
        <w:t>（一）估值日</w:t>
      </w:r>
    </w:p>
    <w:p w:rsidR="00C83B52" w:rsidRDefault="00046FD1">
      <w:pPr>
        <w:spacing w:line="200" w:lineRule="exact"/>
        <w:ind w:firstLine="300"/>
      </w:pPr>
      <w:r>
        <w:rPr>
          <w:rFonts w:cs="宋体"/>
          <w:sz w:val="15"/>
          <w:szCs w:val="20"/>
        </w:rPr>
        <w:t>本理财产品每个工作日进行估值。</w:t>
      </w:r>
    </w:p>
    <w:p w:rsidR="00C83B52" w:rsidRDefault="00046FD1">
      <w:pPr>
        <w:spacing w:line="200" w:lineRule="exact"/>
        <w:ind w:firstLine="300"/>
      </w:pPr>
      <w:r>
        <w:rPr>
          <w:rFonts w:cs="宋体"/>
          <w:sz w:val="15"/>
          <w:szCs w:val="20"/>
        </w:rPr>
        <w:t>（二）估值对象</w:t>
      </w:r>
    </w:p>
    <w:p w:rsidR="00C83B52" w:rsidRDefault="00046FD1">
      <w:pPr>
        <w:spacing w:line="200" w:lineRule="exact"/>
        <w:ind w:firstLine="300"/>
      </w:pPr>
      <w:r>
        <w:rPr>
          <w:rFonts w:cs="宋体"/>
          <w:sz w:val="15"/>
          <w:szCs w:val="20"/>
        </w:rPr>
        <w:t>本理财产品所拥有的所有资产及负债。</w:t>
      </w:r>
    </w:p>
    <w:p w:rsidR="00C83B52" w:rsidRDefault="00046FD1">
      <w:pPr>
        <w:spacing w:line="200" w:lineRule="exact"/>
        <w:ind w:firstLine="300"/>
      </w:pPr>
      <w:r>
        <w:rPr>
          <w:rFonts w:cs="宋体"/>
          <w:sz w:val="15"/>
          <w:szCs w:val="20"/>
        </w:rPr>
        <w:t>（三）估值目的</w:t>
      </w:r>
    </w:p>
    <w:p w:rsidR="00C83B52" w:rsidRDefault="00046FD1">
      <w:pPr>
        <w:spacing w:line="200" w:lineRule="exact"/>
        <w:ind w:firstLine="300"/>
      </w:pPr>
      <w:r>
        <w:rPr>
          <w:rFonts w:cs="宋体"/>
          <w:sz w:val="15"/>
          <w:szCs w:val="20"/>
        </w:rPr>
        <w:t>客观、准确反映理财产品的价值。</w:t>
      </w:r>
    </w:p>
    <w:p w:rsidR="00C83B52" w:rsidRDefault="00046FD1">
      <w:pPr>
        <w:spacing w:line="200" w:lineRule="exact"/>
        <w:ind w:firstLine="300"/>
      </w:pPr>
      <w:r>
        <w:rPr>
          <w:rFonts w:cs="宋体"/>
          <w:sz w:val="15"/>
          <w:szCs w:val="20"/>
        </w:rPr>
        <w:t>（四）估值原则</w:t>
      </w:r>
    </w:p>
    <w:p w:rsidR="00C83B52" w:rsidRDefault="00046FD1">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C83B52" w:rsidRDefault="00046FD1">
      <w:pPr>
        <w:spacing w:line="200" w:lineRule="exact"/>
        <w:ind w:firstLine="300"/>
      </w:pPr>
      <w:r>
        <w:rPr>
          <w:rFonts w:cs="宋体"/>
          <w:sz w:val="15"/>
          <w:szCs w:val="20"/>
        </w:rPr>
        <w:t>（五）估值方法</w:t>
      </w:r>
    </w:p>
    <w:p w:rsidR="00C83B52" w:rsidRDefault="00046FD1">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C83B52" w:rsidRDefault="00046FD1">
      <w:pPr>
        <w:spacing w:line="200" w:lineRule="exact"/>
        <w:ind w:firstLine="280"/>
        <w:jc w:val="left"/>
      </w:pPr>
      <w:r>
        <w:rPr>
          <w:rFonts w:cs="宋体"/>
          <w:sz w:val="15"/>
          <w:szCs w:val="20"/>
        </w:rPr>
        <w:t>1.</w:t>
      </w:r>
      <w:r>
        <w:rPr>
          <w:rFonts w:cs="宋体"/>
          <w:sz w:val="15"/>
          <w:szCs w:val="20"/>
        </w:rPr>
        <w:t>银行存款、回购等货币市场工具</w:t>
      </w:r>
    </w:p>
    <w:p w:rsidR="00C83B52" w:rsidRDefault="00046FD1">
      <w:pPr>
        <w:spacing w:line="200" w:lineRule="exact"/>
        <w:ind w:firstLine="280"/>
        <w:jc w:val="left"/>
      </w:pPr>
      <w:r>
        <w:rPr>
          <w:rFonts w:cs="宋体"/>
          <w:sz w:val="15"/>
          <w:szCs w:val="20"/>
        </w:rPr>
        <w:t>以本金列示，按商定的利率在实际持有期间内逐日计提。</w:t>
      </w:r>
    </w:p>
    <w:p w:rsidR="00C83B52" w:rsidRDefault="00046FD1">
      <w:pPr>
        <w:spacing w:line="200" w:lineRule="exact"/>
        <w:ind w:firstLine="280"/>
        <w:jc w:val="left"/>
      </w:pPr>
      <w:r>
        <w:rPr>
          <w:rFonts w:cs="宋体"/>
          <w:color w:val="3D3D3D"/>
          <w:sz w:val="15"/>
          <w:szCs w:val="20"/>
        </w:rPr>
        <w:t>2.</w:t>
      </w:r>
      <w:r>
        <w:rPr>
          <w:rFonts w:cs="宋体"/>
          <w:color w:val="3D3D3D"/>
          <w:sz w:val="15"/>
          <w:szCs w:val="20"/>
        </w:rPr>
        <w:t>债券类资产</w:t>
      </w:r>
    </w:p>
    <w:p w:rsidR="00C83B52" w:rsidRDefault="00046FD1">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C83B52" w:rsidRDefault="00046FD1">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C83B52" w:rsidRDefault="00046FD1">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C83B52" w:rsidRDefault="00046FD1">
      <w:pPr>
        <w:spacing w:line="200" w:lineRule="exact"/>
        <w:ind w:firstLine="280"/>
        <w:jc w:val="left"/>
      </w:pPr>
      <w:r>
        <w:rPr>
          <w:rFonts w:cs="宋体"/>
          <w:color w:val="3D3D3D"/>
          <w:sz w:val="15"/>
          <w:szCs w:val="20"/>
        </w:rPr>
        <w:t>4.</w:t>
      </w:r>
      <w:r>
        <w:rPr>
          <w:rFonts w:cs="宋体"/>
          <w:color w:val="3D3D3D"/>
          <w:sz w:val="15"/>
          <w:szCs w:val="20"/>
        </w:rPr>
        <w:t>证券投资基金</w:t>
      </w:r>
    </w:p>
    <w:p w:rsidR="00C83B52" w:rsidRDefault="00046FD1">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w:t>
      </w:r>
      <w:r>
        <w:rPr>
          <w:rFonts w:cs="宋体"/>
          <w:color w:val="3D3D3D"/>
          <w:sz w:val="15"/>
          <w:szCs w:val="20"/>
        </w:rPr>
        <w:lastRenderedPageBreak/>
        <w:t>收益，则按所投资基金前一估值日后至估值日期间（含节假日）的万份（百份）收益计提估值日基金收益。</w:t>
      </w:r>
    </w:p>
    <w:p w:rsidR="00C83B52" w:rsidRDefault="00046FD1">
      <w:pPr>
        <w:spacing w:line="200" w:lineRule="exact"/>
        <w:ind w:firstLine="280"/>
        <w:jc w:val="left"/>
      </w:pPr>
      <w:r>
        <w:rPr>
          <w:rFonts w:cs="宋体"/>
          <w:color w:val="3D3D3D"/>
          <w:sz w:val="15"/>
          <w:szCs w:val="20"/>
        </w:rPr>
        <w:t>5.</w:t>
      </w:r>
      <w:r>
        <w:rPr>
          <w:rFonts w:cs="宋体"/>
          <w:color w:val="3D3D3D"/>
          <w:sz w:val="15"/>
          <w:szCs w:val="20"/>
        </w:rPr>
        <w:t>股权类资产</w:t>
      </w:r>
    </w:p>
    <w:p w:rsidR="00C83B52" w:rsidRDefault="00046FD1">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C83B52" w:rsidRDefault="00046FD1">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C83B52" w:rsidRDefault="00046FD1">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C83B52" w:rsidRDefault="00046FD1">
      <w:pPr>
        <w:spacing w:line="200" w:lineRule="exact"/>
        <w:ind w:firstLine="280"/>
        <w:jc w:val="left"/>
      </w:pPr>
      <w:r>
        <w:rPr>
          <w:rFonts w:cs="宋体"/>
          <w:color w:val="3D3D3D"/>
          <w:sz w:val="15"/>
          <w:szCs w:val="20"/>
        </w:rPr>
        <w:t>7.</w:t>
      </w:r>
      <w:r>
        <w:rPr>
          <w:rFonts w:cs="宋体"/>
          <w:color w:val="3D3D3D"/>
          <w:sz w:val="15"/>
          <w:szCs w:val="20"/>
        </w:rPr>
        <w:t>其他资产</w:t>
      </w:r>
    </w:p>
    <w:p w:rsidR="00C83B52" w:rsidRDefault="00046FD1">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C83B52" w:rsidRDefault="00046FD1">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C83B52" w:rsidRDefault="00046FD1">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C83B52" w:rsidRDefault="00046FD1">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C83B52" w:rsidRDefault="00046FD1">
      <w:pPr>
        <w:spacing w:line="200" w:lineRule="exact"/>
        <w:ind w:firstLine="300"/>
      </w:pPr>
      <w:r>
        <w:rPr>
          <w:rFonts w:cs="宋体"/>
          <w:sz w:val="15"/>
          <w:szCs w:val="20"/>
        </w:rPr>
        <w:t>（六）估值错误及暂停估值</w:t>
      </w:r>
    </w:p>
    <w:p w:rsidR="00C83B52" w:rsidRDefault="00046FD1">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C83B52" w:rsidRDefault="00046FD1">
      <w:pPr>
        <w:pStyle w:val="Normal8ca8340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C83B52" w:rsidRDefault="00046FD1">
      <w:pPr>
        <w:pStyle w:val="Normal8ca8340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C83B52" w:rsidRDefault="00046FD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C83B52" w:rsidRDefault="00046FD1">
      <w:pPr>
        <w:pStyle w:val="Normal8ca8340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83B52" w:rsidRDefault="00046FD1">
      <w:pPr>
        <w:pStyle w:val="Normal8ca83400"/>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C83B52" w:rsidRDefault="00046FD1">
      <w:pPr>
        <w:pStyle w:val="Normal8ca8340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83B52" w:rsidRDefault="00046FD1">
      <w:pPr>
        <w:pStyle w:val="Normal8ca8340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83B52" w:rsidRDefault="00046FD1">
      <w:pPr>
        <w:pStyle w:val="Normal8ca8340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83B52" w:rsidRDefault="00046FD1">
      <w:pPr>
        <w:pStyle w:val="Normal8ca8340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C83B52" w:rsidRDefault="00046FD1">
      <w:pPr>
        <w:pStyle w:val="Normal8ca834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C83B52" w:rsidRDefault="00046FD1">
      <w:pPr>
        <w:pStyle w:val="Normal8ca8340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C83B52" w:rsidRDefault="00046FD1">
      <w:pPr>
        <w:pStyle w:val="Normal8ca8340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83B52" w:rsidRDefault="00046FD1">
      <w:pPr>
        <w:pStyle w:val="Normal8ca8340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C83B52" w:rsidRDefault="00046FD1">
      <w:pPr>
        <w:pStyle w:val="Normal8ca8340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83B52" w:rsidRDefault="00046FD1">
      <w:pPr>
        <w:pStyle w:val="Normal8ca8340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83B52" w:rsidRDefault="00046FD1">
      <w:pPr>
        <w:pStyle w:val="Normal8ca8340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C83B52" w:rsidRDefault="00046FD1">
      <w:pPr>
        <w:pStyle w:val="Normal8ca8340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83B52" w:rsidRDefault="00046FD1">
      <w:pPr>
        <w:pStyle w:val="Normal8ca8340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C83B52" w:rsidRDefault="00046FD1">
      <w:pPr>
        <w:pStyle w:val="Normal8ca8340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83B52" w:rsidRDefault="00046FD1">
      <w:pPr>
        <w:pStyle w:val="Normal8ca8340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C83B52" w:rsidRDefault="00046FD1">
      <w:pPr>
        <w:pStyle w:val="Normal8ca8340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C83B52" w:rsidRDefault="00C83B52">
      <w:pPr>
        <w:pStyle w:val="Normal8ca83400"/>
        <w:widowControl/>
        <w:rPr>
          <w:b/>
          <w:bCs/>
          <w:color w:val="3D3D3D"/>
          <w:kern w:val="0"/>
          <w:sz w:val="15"/>
          <w:szCs w:val="15"/>
        </w:rPr>
      </w:pPr>
    </w:p>
    <w:p w:rsidR="00C83B52" w:rsidRDefault="00046FD1">
      <w:pPr>
        <w:pStyle w:val="Normal8ca83400"/>
        <w:widowControl/>
        <w:rPr>
          <w:b/>
          <w:bCs/>
          <w:color w:val="3D3D3D"/>
          <w:kern w:val="0"/>
          <w:sz w:val="15"/>
          <w:szCs w:val="15"/>
        </w:rPr>
      </w:pPr>
      <w:r>
        <w:rPr>
          <w:rFonts w:hint="eastAsia"/>
          <w:b/>
          <w:bCs/>
          <w:color w:val="3D3D3D"/>
          <w:kern w:val="0"/>
          <w:sz w:val="15"/>
          <w:szCs w:val="15"/>
        </w:rPr>
        <w:t>风险提示：</w:t>
      </w:r>
    </w:p>
    <w:p w:rsidR="00C83B52" w:rsidRDefault="00046FD1">
      <w:pPr>
        <w:pStyle w:val="Normal8ca8340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定期开放式、混合类、公募、净值型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E0289" w:rsidRDefault="00EE0289" w:rsidP="00EE0289">
      <w:pPr>
        <w:pStyle w:val="10"/>
      </w:pPr>
    </w:p>
    <w:p w:rsidR="00EE0289" w:rsidRDefault="00EE0289" w:rsidP="00EE0289">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EE0289" w:rsidRDefault="00EE0289" w:rsidP="00EE0289">
      <w:pPr>
        <w:ind w:firstLineChars="200" w:firstLine="321"/>
        <w:jc w:val="center"/>
        <w:rPr>
          <w:rFonts w:ascii="宋体" w:hAnsi="宋体"/>
          <w:b/>
          <w:i/>
          <w:sz w:val="16"/>
          <w:szCs w:val="15"/>
          <w:u w:val="single"/>
        </w:rPr>
      </w:pPr>
    </w:p>
    <w:p w:rsidR="00EE0289" w:rsidRDefault="00EE0289" w:rsidP="00EE028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E0289" w:rsidRDefault="00EE0289" w:rsidP="00EE028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EE0289" w:rsidRDefault="00EE0289" w:rsidP="00EE028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E0289" w:rsidRDefault="00EE0289" w:rsidP="00EE028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E0289" w:rsidRDefault="00EE0289" w:rsidP="00EE028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E0289" w:rsidRDefault="00EE0289" w:rsidP="00EE028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E0289" w:rsidRDefault="00EE0289" w:rsidP="00EE028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E0289" w:rsidRDefault="00EE0289" w:rsidP="00EE028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E0289" w:rsidRDefault="00EE0289" w:rsidP="00EE028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E0289" w:rsidRDefault="00EE0289" w:rsidP="00EE028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E0289" w:rsidRDefault="00EE0289" w:rsidP="00EE028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E0289" w:rsidRDefault="00EE0289" w:rsidP="00EE028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E0289" w:rsidRDefault="00EE0289" w:rsidP="00EE028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EE0289" w:rsidRDefault="00EE0289" w:rsidP="00EE0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E0289" w:rsidRDefault="00EE0289" w:rsidP="00EE028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E0289" w:rsidRDefault="00EE0289" w:rsidP="00EE028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E0289" w:rsidRDefault="00EE0289" w:rsidP="00EE028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E0289" w:rsidRDefault="00EE0289" w:rsidP="00EE028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E0289" w:rsidRDefault="00EE0289" w:rsidP="00EE028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E0289" w:rsidRDefault="00EE0289" w:rsidP="00EE028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E0289" w:rsidRDefault="00EE0289" w:rsidP="00EE0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E0289" w:rsidRDefault="00EE0289" w:rsidP="00EE0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E0289" w:rsidRDefault="00EE0289" w:rsidP="00EE0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E0289" w:rsidRDefault="00EE0289" w:rsidP="00EE0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E0289" w:rsidRDefault="00EE0289" w:rsidP="00EE028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E0289" w:rsidRPr="009807FC" w:rsidRDefault="00EE0289" w:rsidP="00EE028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EE0289" w:rsidRPr="009807FC" w:rsidRDefault="00EE0289" w:rsidP="00EE028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EE0289" w:rsidRPr="009807FC" w:rsidRDefault="00EE0289" w:rsidP="00EE028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EE0289" w:rsidRPr="009807FC" w:rsidRDefault="00EE0289" w:rsidP="00EE028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EE0289" w:rsidRPr="009807FC" w:rsidRDefault="00EE0289" w:rsidP="00EE028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EE0289" w:rsidRPr="009807FC" w:rsidRDefault="00EE0289" w:rsidP="00EE028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EE0289" w:rsidRDefault="00EE0289" w:rsidP="00EE028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E0289" w:rsidRDefault="00EE0289" w:rsidP="00EE028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EE0289" w:rsidRDefault="00EE0289" w:rsidP="00EE028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E0289" w:rsidRDefault="00EE0289" w:rsidP="00EE028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E0289" w:rsidRDefault="00EE0289" w:rsidP="00EE028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E0289" w:rsidRDefault="00EE0289" w:rsidP="00EE028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E0289" w:rsidRDefault="00EE0289" w:rsidP="00EE028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E0289" w:rsidRDefault="00EE0289" w:rsidP="00EE028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E0289" w:rsidRDefault="00EE0289" w:rsidP="00EE028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E0289" w:rsidRDefault="00EE0289" w:rsidP="00EE028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EE0289" w:rsidRDefault="00EE0289" w:rsidP="00EE028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E0289" w:rsidRDefault="00EE0289" w:rsidP="00EE028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E0289" w:rsidRDefault="00EE0289" w:rsidP="00EE0289">
      <w:pPr>
        <w:pStyle w:val="ab"/>
        <w:spacing w:before="0" w:after="0" w:line="240" w:lineRule="auto"/>
        <w:ind w:firstLineChars="198" w:firstLine="338"/>
        <w:jc w:val="both"/>
        <w:rPr>
          <w:b/>
          <w:bCs/>
          <w:spacing w:val="10"/>
          <w:kern w:val="2"/>
          <w:sz w:val="15"/>
          <w:szCs w:val="15"/>
        </w:rPr>
      </w:pPr>
    </w:p>
    <w:p w:rsidR="00EE0289" w:rsidRDefault="00EE0289" w:rsidP="00EE0289">
      <w:pPr>
        <w:pStyle w:val="ab"/>
        <w:spacing w:before="0" w:after="0" w:line="240" w:lineRule="auto"/>
        <w:ind w:firstLineChars="198" w:firstLine="338"/>
        <w:jc w:val="both"/>
        <w:rPr>
          <w:b/>
          <w:bCs/>
          <w:spacing w:val="10"/>
          <w:kern w:val="2"/>
          <w:sz w:val="15"/>
          <w:szCs w:val="15"/>
        </w:rPr>
      </w:pPr>
    </w:p>
    <w:p w:rsidR="00EE0289" w:rsidRDefault="00EE0289" w:rsidP="00EE028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EE0289" w:rsidTr="00E866BB">
        <w:trPr>
          <w:trHeight w:val="178"/>
          <w:jc w:val="center"/>
        </w:trPr>
        <w:tc>
          <w:tcPr>
            <w:tcW w:w="1866" w:type="dxa"/>
            <w:vMerge w:val="restart"/>
            <w:tcBorders>
              <w:top w:val="single" w:sz="4" w:space="0" w:color="auto"/>
              <w:left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E0289" w:rsidTr="00E866BB">
        <w:trPr>
          <w:trHeight w:val="735"/>
          <w:jc w:val="center"/>
        </w:trPr>
        <w:tc>
          <w:tcPr>
            <w:tcW w:w="1866" w:type="dxa"/>
            <w:vMerge/>
            <w:tcBorders>
              <w:left w:val="single" w:sz="4" w:space="0" w:color="auto"/>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EE0289" w:rsidTr="00E866BB">
        <w:trPr>
          <w:trHeight w:val="270"/>
          <w:jc w:val="center"/>
        </w:trPr>
        <w:tc>
          <w:tcPr>
            <w:tcW w:w="1866" w:type="dxa"/>
            <w:tcBorders>
              <w:top w:val="nil"/>
              <w:left w:val="single" w:sz="4" w:space="0" w:color="auto"/>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r>
      <w:tr w:rsidR="00EE0289"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E0289" w:rsidRDefault="00EE0289" w:rsidP="00E866B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r>
      <w:tr w:rsidR="00EE0289" w:rsidTr="00E866B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E0289" w:rsidRDefault="00EE0289" w:rsidP="00E866B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r>
      <w:tr w:rsidR="00EE0289"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r>
      <w:tr w:rsidR="00EE0289" w:rsidTr="00E866B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E0289" w:rsidRDefault="00EE0289" w:rsidP="00E866B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E0289" w:rsidRDefault="00EE0289" w:rsidP="00E866BB">
            <w:pPr>
              <w:widowControl/>
              <w:snapToGrid w:val="0"/>
              <w:jc w:val="center"/>
              <w:rPr>
                <w:rFonts w:ascii="宋体" w:hAnsi="宋体" w:cs="宋体"/>
                <w:kern w:val="0"/>
                <w:sz w:val="15"/>
                <w:szCs w:val="15"/>
              </w:rPr>
            </w:pPr>
            <w:r>
              <w:rPr>
                <w:rFonts w:hint="eastAsia"/>
                <w:spacing w:val="10"/>
                <w:sz w:val="15"/>
                <w:szCs w:val="15"/>
              </w:rPr>
              <w:t>×</w:t>
            </w:r>
          </w:p>
        </w:tc>
      </w:tr>
    </w:tbl>
    <w:p w:rsidR="00EE0289" w:rsidRDefault="00EE0289" w:rsidP="00EE028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E0289" w:rsidRDefault="00EE0289" w:rsidP="00EE028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E0289" w:rsidRDefault="00EE0289" w:rsidP="00EE028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E0289" w:rsidRDefault="00EE0289" w:rsidP="00EE028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E0289" w:rsidRDefault="00EE0289" w:rsidP="00EE028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E0289" w:rsidRDefault="00EE0289" w:rsidP="00EE028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E0289" w:rsidRDefault="00EE0289" w:rsidP="00EE028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EE0289" w:rsidRDefault="00EE0289" w:rsidP="00EE028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E0289" w:rsidRDefault="00EE0289" w:rsidP="00EE028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E0289" w:rsidRDefault="00EE0289" w:rsidP="00EE028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E0289" w:rsidRDefault="00EE0289" w:rsidP="00EE0289">
      <w:pPr>
        <w:pStyle w:val="ab"/>
        <w:spacing w:before="0" w:after="0" w:line="240" w:lineRule="auto"/>
        <w:ind w:firstLineChars="200" w:firstLine="341"/>
        <w:rPr>
          <w:b/>
          <w:spacing w:val="10"/>
          <w:kern w:val="2"/>
          <w:sz w:val="15"/>
          <w:szCs w:val="15"/>
        </w:rPr>
      </w:pPr>
    </w:p>
    <w:p w:rsidR="00EE0289" w:rsidRDefault="00EE0289" w:rsidP="00EE0289">
      <w:pPr>
        <w:pStyle w:val="ab"/>
        <w:spacing w:before="0" w:after="0" w:line="240" w:lineRule="auto"/>
        <w:ind w:firstLine="0"/>
        <w:jc w:val="both"/>
        <w:rPr>
          <w:b/>
          <w:spacing w:val="10"/>
          <w:kern w:val="2"/>
          <w:sz w:val="15"/>
          <w:szCs w:val="15"/>
          <w:u w:val="single"/>
        </w:rPr>
      </w:pPr>
    </w:p>
    <w:p w:rsidR="00EE0289" w:rsidRDefault="00EE0289" w:rsidP="00EE028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E0289" w:rsidRDefault="00EE0289" w:rsidP="00EE0289">
      <w:pPr>
        <w:ind w:firstLineChars="200" w:firstLine="341"/>
        <w:rPr>
          <w:b/>
          <w:spacing w:val="10"/>
          <w:sz w:val="15"/>
          <w:szCs w:val="15"/>
          <w:u w:val="single"/>
        </w:rPr>
        <w:sectPr w:rsidR="00EE028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r>
        <w:rPr>
          <w:rFonts w:eastAsia="黑体"/>
          <w:b/>
          <w:bCs/>
          <w:sz w:val="24"/>
          <w:szCs w:val="15"/>
        </w:rPr>
        <w:t>理财产品销售协议书</w:t>
      </w: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p>
    <w:p w:rsidR="00EE0289" w:rsidRDefault="00EE0289" w:rsidP="00EE0289">
      <w:pPr>
        <w:tabs>
          <w:tab w:val="left" w:pos="0"/>
        </w:tabs>
        <w:jc w:val="center"/>
      </w:pPr>
      <w:r>
        <w:t>编制单位：</w:t>
      </w:r>
      <w:r>
        <w:rPr>
          <w:u w:val="single"/>
        </w:rPr>
        <w:t>南银理财有限责任公司</w:t>
      </w:r>
    </w:p>
    <w:p w:rsidR="00EE0289" w:rsidRDefault="00EE0289" w:rsidP="00EE028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EE0289" w:rsidRDefault="00EE0289" w:rsidP="00EE0289">
      <w:pPr>
        <w:adjustRightInd w:val="0"/>
        <w:snapToGrid w:val="0"/>
        <w:spacing w:line="0" w:lineRule="atLeast"/>
        <w:rPr>
          <w:b/>
          <w:bCs/>
        </w:rPr>
      </w:pPr>
      <w:r>
        <w:rPr>
          <w:b/>
          <w:bCs/>
        </w:rPr>
        <w:lastRenderedPageBreak/>
        <w:t>风险提示：</w:t>
      </w:r>
    </w:p>
    <w:p w:rsidR="00EE0289" w:rsidRDefault="00EE0289" w:rsidP="00EE028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EE0289" w:rsidRDefault="00EE0289" w:rsidP="00EE0289">
      <w:pPr>
        <w:tabs>
          <w:tab w:val="left" w:pos="7920"/>
          <w:tab w:val="left" w:pos="8100"/>
        </w:tabs>
        <w:spacing w:line="0" w:lineRule="atLeast"/>
        <w:rPr>
          <w:b/>
          <w:bCs/>
        </w:rPr>
      </w:pPr>
    </w:p>
    <w:p w:rsidR="00EE0289" w:rsidRDefault="00EE0289" w:rsidP="00EE0289">
      <w:pPr>
        <w:spacing w:line="0" w:lineRule="atLeast"/>
        <w:jc w:val="center"/>
        <w:rPr>
          <w:rFonts w:eastAsia="黑体"/>
          <w:b/>
          <w:bCs/>
          <w:sz w:val="24"/>
          <w:szCs w:val="15"/>
        </w:rPr>
      </w:pPr>
    </w:p>
    <w:p w:rsidR="00EE0289" w:rsidRDefault="00EE0289" w:rsidP="00EE0289">
      <w:pPr>
        <w:spacing w:line="0" w:lineRule="atLeast"/>
        <w:jc w:val="center"/>
        <w:rPr>
          <w:rFonts w:eastAsia="黑体"/>
          <w:b/>
          <w:bCs/>
          <w:sz w:val="24"/>
          <w:szCs w:val="15"/>
        </w:rPr>
      </w:pPr>
      <w:r>
        <w:rPr>
          <w:rFonts w:eastAsia="黑体"/>
          <w:b/>
          <w:bCs/>
          <w:sz w:val="24"/>
          <w:szCs w:val="15"/>
        </w:rPr>
        <w:t>理财产品销售协议书</w:t>
      </w:r>
    </w:p>
    <w:p w:rsidR="00EE0289" w:rsidRDefault="00EE0289" w:rsidP="00EE0289">
      <w:pPr>
        <w:spacing w:line="200" w:lineRule="exact"/>
        <w:ind w:firstLineChars="200" w:firstLine="300"/>
        <w:rPr>
          <w:rFonts w:eastAsia="方正细黑一简体"/>
          <w:sz w:val="15"/>
          <w:szCs w:val="15"/>
        </w:rPr>
      </w:pPr>
    </w:p>
    <w:p w:rsidR="00EE0289" w:rsidRDefault="00EE0289" w:rsidP="00EE028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E0289" w:rsidRDefault="00EE0289" w:rsidP="00EE0289">
      <w:pPr>
        <w:numPr>
          <w:ilvl w:val="0"/>
          <w:numId w:val="6"/>
        </w:numPr>
        <w:spacing w:line="200" w:lineRule="exact"/>
        <w:ind w:firstLineChars="200" w:firstLine="341"/>
        <w:rPr>
          <w:b/>
          <w:bCs/>
          <w:spacing w:val="10"/>
          <w:sz w:val="15"/>
          <w:szCs w:val="15"/>
        </w:rPr>
      </w:pPr>
      <w:r>
        <w:rPr>
          <w:b/>
          <w:bCs/>
          <w:spacing w:val="10"/>
          <w:sz w:val="15"/>
          <w:szCs w:val="15"/>
        </w:rPr>
        <w:t>名词释义</w:t>
      </w:r>
    </w:p>
    <w:p w:rsidR="00EE0289" w:rsidRDefault="00EE0289" w:rsidP="00EE028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EE0289" w:rsidRDefault="00EE0289" w:rsidP="00EE028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EE0289" w:rsidRDefault="00EE0289" w:rsidP="00EE028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E0289" w:rsidRDefault="00EE0289" w:rsidP="00EE028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E0289" w:rsidRDefault="00EE0289" w:rsidP="00EE028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E0289" w:rsidRDefault="00EE0289" w:rsidP="00EE028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E0289" w:rsidRDefault="00EE0289" w:rsidP="00EE028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E0289" w:rsidRDefault="00EE0289" w:rsidP="00EE028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E0289" w:rsidRDefault="00EE0289" w:rsidP="00EE028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E0289" w:rsidRDefault="00EE0289" w:rsidP="00EE028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E0289" w:rsidRDefault="00EE0289" w:rsidP="00EE028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E0289" w:rsidRDefault="00EE0289" w:rsidP="00EE028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E0289" w:rsidRDefault="00EE0289" w:rsidP="00EE028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E0289" w:rsidRDefault="00EE0289" w:rsidP="00EE028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EE0289" w:rsidRDefault="00EE0289" w:rsidP="00EE028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E0289" w:rsidRDefault="00EE0289" w:rsidP="00EE028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E0289" w:rsidRDefault="00EE0289" w:rsidP="00EE028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E0289" w:rsidRDefault="00EE0289" w:rsidP="00EE028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EE0289" w:rsidRDefault="00EE0289" w:rsidP="00EE028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E0289" w:rsidRDefault="00EE0289" w:rsidP="00EE028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E0289" w:rsidRDefault="00EE0289" w:rsidP="00EE028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EE0289" w:rsidRDefault="00EE0289" w:rsidP="00EE028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E0289" w:rsidRDefault="00EE0289" w:rsidP="00EE028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E0289" w:rsidRDefault="00EE0289" w:rsidP="00EE028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E0289" w:rsidRDefault="00EE0289" w:rsidP="00EE028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E0289" w:rsidRDefault="00EE0289" w:rsidP="00EE028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E0289" w:rsidRDefault="00EE0289" w:rsidP="00EE028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E0289" w:rsidRDefault="00EE0289" w:rsidP="00EE028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E0289" w:rsidRDefault="00EE0289" w:rsidP="00EE028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E0289" w:rsidRDefault="00EE0289" w:rsidP="00EE028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E0289" w:rsidRDefault="00EE0289" w:rsidP="00EE028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E0289" w:rsidRDefault="00EE0289" w:rsidP="00EE028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E0289" w:rsidRDefault="00EE0289" w:rsidP="00EE028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E0289" w:rsidRDefault="00EE0289" w:rsidP="00EE028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E0289" w:rsidRDefault="00EE0289" w:rsidP="00EE028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E0289" w:rsidRDefault="00EE0289" w:rsidP="00EE028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E0289" w:rsidRDefault="00EE0289" w:rsidP="00EE028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EE0289" w:rsidRDefault="00EE0289" w:rsidP="00EE028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EE0289" w:rsidRDefault="00EE0289" w:rsidP="00EE028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E0289" w:rsidRDefault="00EE0289" w:rsidP="00EE028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E0289" w:rsidRDefault="00EE0289" w:rsidP="00EE028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E0289" w:rsidRDefault="00EE0289" w:rsidP="00EE028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E0289" w:rsidRDefault="00EE0289" w:rsidP="00EE028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E0289" w:rsidRDefault="00EE0289" w:rsidP="00EE028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EE0289" w:rsidRDefault="00EE0289" w:rsidP="00EE028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EE0289" w:rsidRDefault="00EE0289" w:rsidP="00EE028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E0289" w:rsidRDefault="00EE0289" w:rsidP="00EE028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EE0289" w:rsidRDefault="00EE0289" w:rsidP="00EE028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E0289" w:rsidRDefault="00EE0289" w:rsidP="00EE028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EE0289" w:rsidRDefault="00EE0289" w:rsidP="00EE028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EE0289" w:rsidRDefault="00EE0289" w:rsidP="00EE028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EE0289" w:rsidRDefault="00EE0289" w:rsidP="00EE028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E0289" w:rsidRDefault="00EE0289" w:rsidP="00EE028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E0289" w:rsidRDefault="00EE0289" w:rsidP="00EE0289">
      <w:pPr>
        <w:spacing w:line="200" w:lineRule="exact"/>
        <w:ind w:firstLineChars="200" w:firstLine="341"/>
        <w:rPr>
          <w:b/>
          <w:spacing w:val="10"/>
          <w:sz w:val="15"/>
          <w:szCs w:val="15"/>
        </w:rPr>
      </w:pPr>
      <w:r>
        <w:rPr>
          <w:rFonts w:hint="eastAsia"/>
          <w:b/>
          <w:spacing w:val="10"/>
          <w:sz w:val="15"/>
          <w:szCs w:val="15"/>
        </w:rPr>
        <w:t xml:space="preserve">7.产品资产的清算 </w:t>
      </w:r>
    </w:p>
    <w:p w:rsidR="00EE0289" w:rsidRDefault="00EE0289" w:rsidP="00EE028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E0289" w:rsidRDefault="00EE0289" w:rsidP="00EE028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E0289" w:rsidRDefault="00EE0289" w:rsidP="00EE028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EE0289" w:rsidRDefault="00EE0289" w:rsidP="00EE028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EE0289" w:rsidRDefault="00EE0289" w:rsidP="00EE028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E0289" w:rsidRDefault="00EE0289" w:rsidP="00EE028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E0289" w:rsidRPr="00996FE5" w:rsidRDefault="00EE0289" w:rsidP="00EE028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EE0289" w:rsidRPr="00996FE5" w:rsidRDefault="00EE0289" w:rsidP="00EE028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E0289" w:rsidRPr="00996FE5" w:rsidRDefault="00EE0289" w:rsidP="00EE028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EE0289" w:rsidRPr="00996FE5" w:rsidRDefault="00EE0289" w:rsidP="00EE028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EE0289" w:rsidRPr="00996FE5" w:rsidRDefault="00EE0289" w:rsidP="00EE028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EE0289" w:rsidRDefault="00EE0289" w:rsidP="00EE028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E0289" w:rsidRDefault="00EE0289" w:rsidP="00EE028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E0289" w:rsidRDefault="00EE0289" w:rsidP="00EE028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E0289" w:rsidRDefault="00EE0289" w:rsidP="00EE028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EE0289" w:rsidRDefault="00EE0289" w:rsidP="00EE028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EE0289" w:rsidRDefault="00EE0289" w:rsidP="00EE028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E0289" w:rsidRDefault="00EE0289" w:rsidP="00EE0289">
      <w:pPr>
        <w:numPr>
          <w:ilvl w:val="0"/>
          <w:numId w:val="12"/>
        </w:numPr>
        <w:spacing w:line="200" w:lineRule="exact"/>
        <w:ind w:firstLineChars="200" w:firstLine="340"/>
        <w:rPr>
          <w:spacing w:val="10"/>
          <w:sz w:val="15"/>
          <w:szCs w:val="15"/>
        </w:rPr>
      </w:pPr>
      <w:r>
        <w:rPr>
          <w:bCs/>
          <w:spacing w:val="10"/>
          <w:sz w:val="15"/>
          <w:szCs w:val="15"/>
        </w:rPr>
        <w:t>弃权</w:t>
      </w:r>
    </w:p>
    <w:p w:rsidR="00EE0289" w:rsidRDefault="00EE0289" w:rsidP="00EE028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E0289" w:rsidRDefault="00EE0289" w:rsidP="00EE0289">
      <w:pPr>
        <w:numPr>
          <w:ilvl w:val="0"/>
          <w:numId w:val="12"/>
        </w:numPr>
        <w:spacing w:line="200" w:lineRule="exact"/>
        <w:ind w:firstLineChars="200" w:firstLine="340"/>
        <w:rPr>
          <w:spacing w:val="10"/>
          <w:sz w:val="15"/>
          <w:szCs w:val="15"/>
        </w:rPr>
      </w:pPr>
      <w:r>
        <w:rPr>
          <w:spacing w:val="10"/>
          <w:sz w:val="15"/>
          <w:szCs w:val="15"/>
        </w:rPr>
        <w:t>可分割性</w:t>
      </w:r>
    </w:p>
    <w:p w:rsidR="00EE0289" w:rsidRDefault="00EE0289" w:rsidP="00EE028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E0289" w:rsidRDefault="00EE0289" w:rsidP="00EE0289">
      <w:pPr>
        <w:numPr>
          <w:ilvl w:val="0"/>
          <w:numId w:val="12"/>
        </w:numPr>
        <w:spacing w:line="200" w:lineRule="exact"/>
        <w:ind w:firstLineChars="200" w:firstLine="340"/>
        <w:rPr>
          <w:spacing w:val="10"/>
          <w:sz w:val="15"/>
          <w:szCs w:val="15"/>
        </w:rPr>
      </w:pPr>
      <w:r>
        <w:rPr>
          <w:spacing w:val="10"/>
          <w:sz w:val="15"/>
          <w:szCs w:val="15"/>
        </w:rPr>
        <w:t>税收条款</w:t>
      </w:r>
    </w:p>
    <w:p w:rsidR="00EE0289" w:rsidRDefault="00EE0289" w:rsidP="00EE028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E0289" w:rsidRDefault="00EE0289" w:rsidP="00EE028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EE0289" w:rsidRDefault="00EE0289" w:rsidP="00EE028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E0289" w:rsidRDefault="00EE0289" w:rsidP="00EE028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EE0289" w:rsidRDefault="00EE0289" w:rsidP="00EE028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E0289" w:rsidRDefault="00EE0289" w:rsidP="00EE028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EE0289" w:rsidRDefault="00EE0289" w:rsidP="00EE028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EE0289" w:rsidRDefault="00EE0289" w:rsidP="00EE028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EE0289" w:rsidRDefault="00EE0289" w:rsidP="00EE028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EE0289" w:rsidRDefault="00EE0289" w:rsidP="00EE028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E0289" w:rsidRDefault="00EE0289" w:rsidP="00EE028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E0289" w:rsidRDefault="00EE0289" w:rsidP="00EE028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EE0289" w:rsidRDefault="00EE0289" w:rsidP="00EE0289">
      <w:pPr>
        <w:spacing w:line="200" w:lineRule="exact"/>
        <w:ind w:firstLineChars="200" w:firstLine="340"/>
        <w:rPr>
          <w:spacing w:val="10"/>
          <w:sz w:val="15"/>
          <w:szCs w:val="15"/>
        </w:rPr>
      </w:pPr>
    </w:p>
    <w:p w:rsidR="00EE0289" w:rsidRDefault="00EE0289" w:rsidP="00EE028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EE0289" w:rsidTr="00E866BB">
        <w:trPr>
          <w:jc w:val="center"/>
        </w:trPr>
        <w:tc>
          <w:tcPr>
            <w:tcW w:w="4812" w:type="dxa"/>
          </w:tcPr>
          <w:p w:rsidR="00EE0289" w:rsidRDefault="00EE0289" w:rsidP="00E866BB">
            <w:pPr>
              <w:spacing w:line="200" w:lineRule="exact"/>
              <w:rPr>
                <w:spacing w:val="10"/>
                <w:sz w:val="15"/>
                <w:szCs w:val="15"/>
              </w:rPr>
            </w:pPr>
            <w:r>
              <w:rPr>
                <w:spacing w:val="10"/>
                <w:sz w:val="15"/>
                <w:szCs w:val="15"/>
              </w:rPr>
              <w:t>个人投资者（如适用）：</w:t>
            </w:r>
          </w:p>
        </w:tc>
        <w:tc>
          <w:tcPr>
            <w:tcW w:w="4713" w:type="dxa"/>
          </w:tcPr>
          <w:p w:rsidR="00EE0289" w:rsidRDefault="00EE0289" w:rsidP="00E866BB">
            <w:pPr>
              <w:spacing w:line="200" w:lineRule="exact"/>
              <w:rPr>
                <w:spacing w:val="10"/>
                <w:sz w:val="15"/>
                <w:szCs w:val="15"/>
              </w:rPr>
            </w:pPr>
            <w:r>
              <w:rPr>
                <w:spacing w:val="10"/>
                <w:sz w:val="15"/>
                <w:szCs w:val="15"/>
              </w:rPr>
              <w:t>机构投资者（如适用）：</w:t>
            </w:r>
          </w:p>
        </w:tc>
      </w:tr>
      <w:tr w:rsidR="00EE0289" w:rsidTr="00E866BB">
        <w:trPr>
          <w:jc w:val="center"/>
        </w:trPr>
        <w:tc>
          <w:tcPr>
            <w:tcW w:w="4812" w:type="dxa"/>
          </w:tcPr>
          <w:p w:rsidR="00EE0289" w:rsidRDefault="00EE0289" w:rsidP="00E866BB">
            <w:pPr>
              <w:spacing w:line="200" w:lineRule="exact"/>
              <w:ind w:firstLineChars="200" w:firstLine="340"/>
              <w:rPr>
                <w:spacing w:val="10"/>
                <w:sz w:val="15"/>
                <w:szCs w:val="15"/>
              </w:rPr>
            </w:pPr>
          </w:p>
          <w:p w:rsidR="00EE0289" w:rsidRDefault="00EE0289" w:rsidP="00E866B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E0289" w:rsidRDefault="00EE0289" w:rsidP="00E866BB">
            <w:pPr>
              <w:spacing w:line="200" w:lineRule="exact"/>
              <w:ind w:firstLineChars="400" w:firstLine="680"/>
              <w:rPr>
                <w:spacing w:val="10"/>
                <w:sz w:val="15"/>
                <w:szCs w:val="15"/>
              </w:rPr>
            </w:pPr>
          </w:p>
          <w:p w:rsidR="00EE0289" w:rsidRDefault="00EE0289" w:rsidP="00E866BB">
            <w:pPr>
              <w:spacing w:line="200" w:lineRule="exact"/>
              <w:ind w:firstLineChars="500" w:firstLine="850"/>
              <w:rPr>
                <w:spacing w:val="10"/>
                <w:sz w:val="15"/>
                <w:szCs w:val="15"/>
              </w:rPr>
            </w:pPr>
          </w:p>
          <w:p w:rsidR="00EE0289" w:rsidRDefault="00EE0289" w:rsidP="00E866BB">
            <w:pPr>
              <w:spacing w:line="200" w:lineRule="exact"/>
              <w:ind w:firstLineChars="500" w:firstLine="850"/>
              <w:rPr>
                <w:spacing w:val="10"/>
                <w:sz w:val="15"/>
                <w:szCs w:val="15"/>
              </w:rPr>
            </w:pPr>
            <w:r>
              <w:rPr>
                <w:spacing w:val="10"/>
                <w:sz w:val="15"/>
                <w:szCs w:val="15"/>
              </w:rPr>
              <w:t>年月日</w:t>
            </w:r>
          </w:p>
        </w:tc>
        <w:tc>
          <w:tcPr>
            <w:tcW w:w="4713" w:type="dxa"/>
          </w:tcPr>
          <w:p w:rsidR="00EE0289" w:rsidRDefault="00EE0289" w:rsidP="00E866BB">
            <w:pPr>
              <w:spacing w:line="200" w:lineRule="exact"/>
              <w:ind w:firstLineChars="200" w:firstLine="340"/>
              <w:rPr>
                <w:spacing w:val="10"/>
                <w:sz w:val="15"/>
                <w:szCs w:val="15"/>
              </w:rPr>
            </w:pPr>
          </w:p>
          <w:p w:rsidR="00EE0289" w:rsidRDefault="00EE0289" w:rsidP="00E866B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E0289" w:rsidRDefault="00EE0289" w:rsidP="00E866BB">
            <w:pPr>
              <w:spacing w:line="200" w:lineRule="exact"/>
              <w:rPr>
                <w:spacing w:val="10"/>
                <w:sz w:val="15"/>
                <w:szCs w:val="15"/>
              </w:rPr>
            </w:pPr>
          </w:p>
          <w:p w:rsidR="00EE0289" w:rsidRDefault="00EE0289" w:rsidP="00E866BB">
            <w:pPr>
              <w:spacing w:line="200" w:lineRule="exact"/>
              <w:rPr>
                <w:spacing w:val="10"/>
                <w:sz w:val="15"/>
                <w:szCs w:val="15"/>
              </w:rPr>
            </w:pPr>
          </w:p>
          <w:p w:rsidR="00EE0289" w:rsidRDefault="00EE0289" w:rsidP="00E866B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E0289" w:rsidRDefault="00EE0289" w:rsidP="00E866BB">
            <w:pPr>
              <w:spacing w:line="200" w:lineRule="exact"/>
              <w:ind w:firstLineChars="400" w:firstLine="680"/>
              <w:rPr>
                <w:spacing w:val="10"/>
                <w:sz w:val="15"/>
                <w:szCs w:val="15"/>
              </w:rPr>
            </w:pPr>
          </w:p>
          <w:p w:rsidR="00EE0289" w:rsidRDefault="00EE0289" w:rsidP="00E866BB">
            <w:pPr>
              <w:spacing w:line="200" w:lineRule="exact"/>
              <w:ind w:firstLineChars="400" w:firstLine="680"/>
              <w:rPr>
                <w:spacing w:val="10"/>
                <w:sz w:val="15"/>
                <w:szCs w:val="15"/>
              </w:rPr>
            </w:pPr>
            <w:r>
              <w:rPr>
                <w:spacing w:val="10"/>
                <w:sz w:val="15"/>
                <w:szCs w:val="15"/>
              </w:rPr>
              <w:t>年月日</w:t>
            </w:r>
          </w:p>
        </w:tc>
      </w:tr>
    </w:tbl>
    <w:p w:rsidR="00EE0289" w:rsidRDefault="00EE0289" w:rsidP="00EE0289">
      <w:pPr>
        <w:spacing w:line="200" w:lineRule="exact"/>
        <w:rPr>
          <w:spacing w:val="10"/>
          <w:sz w:val="15"/>
          <w:szCs w:val="15"/>
        </w:rPr>
      </w:pPr>
    </w:p>
    <w:p w:rsidR="00EE0289" w:rsidRDefault="00EE0289" w:rsidP="00EE0289">
      <w:pPr>
        <w:pStyle w:val="12"/>
        <w:spacing w:line="360" w:lineRule="auto"/>
        <w:ind w:firstLineChars="0" w:firstLine="0"/>
        <w:jc w:val="center"/>
        <w:sectPr w:rsidR="00EE0289">
          <w:headerReference w:type="default" r:id="rId7"/>
          <w:footerReference w:type="default" r:id="rId8"/>
          <w:pgSz w:w="11906" w:h="16838"/>
          <w:pgMar w:top="720" w:right="720" w:bottom="720" w:left="720" w:header="851" w:footer="992" w:gutter="0"/>
          <w:cols w:space="720"/>
          <w:docGrid w:type="lines" w:linePitch="312"/>
        </w:sectPr>
      </w:pPr>
    </w:p>
    <w:p w:rsidR="00EE0289" w:rsidRDefault="00EE0289" w:rsidP="00EE028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E0289" w:rsidRDefault="00EE0289" w:rsidP="00EE0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E0289" w:rsidRPr="002C6027" w:rsidRDefault="00EE0289" w:rsidP="00EE0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EE0289" w:rsidRDefault="00EE0289" w:rsidP="00EE028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E0289" w:rsidRDefault="00EE0289" w:rsidP="00EE028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E0289" w:rsidRDefault="00EE0289" w:rsidP="00EE028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E0289" w:rsidRDefault="00EE0289" w:rsidP="00EE028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E0289" w:rsidRDefault="00EE0289" w:rsidP="00EE02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E0289" w:rsidRDefault="00EE0289" w:rsidP="00EE02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E0289" w:rsidRDefault="00EE0289" w:rsidP="00EE02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E0289" w:rsidRDefault="00EE0289" w:rsidP="00EE028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E0289" w:rsidRDefault="00EE0289" w:rsidP="00EE0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E0289" w:rsidRDefault="00EE0289" w:rsidP="00EE0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E0289" w:rsidRDefault="00EE0289" w:rsidP="00EE028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E0289" w:rsidRDefault="00EE0289" w:rsidP="00EE0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E0289" w:rsidRDefault="00EE0289" w:rsidP="00EE0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E0289" w:rsidRDefault="00EE0289" w:rsidP="00EE028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EE0289" w:rsidRDefault="00EE0289" w:rsidP="00EE028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E0289" w:rsidRPr="00832DA9" w:rsidRDefault="00EE0289" w:rsidP="00EE028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EE0289" w:rsidRPr="00832DA9" w:rsidRDefault="00EE0289" w:rsidP="00EE028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E0289" w:rsidRPr="00832DA9" w:rsidRDefault="00EE0289" w:rsidP="00EE028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EE0289" w:rsidRPr="00832DA9" w:rsidRDefault="00EE0289" w:rsidP="00EE028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EE0289" w:rsidRPr="00832DA9" w:rsidRDefault="00EE0289" w:rsidP="00EE028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E0289" w:rsidRDefault="00EE0289" w:rsidP="00EE028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E0289" w:rsidRDefault="00EE0289" w:rsidP="00EE0289">
      <w:pPr>
        <w:pStyle w:val="12"/>
        <w:spacing w:line="360" w:lineRule="auto"/>
        <w:ind w:firstLine="400"/>
        <w:rPr>
          <w:rFonts w:ascii="宋体" w:hAnsi="宋体" w:cs="宋体"/>
          <w:sz w:val="20"/>
          <w:szCs w:val="21"/>
        </w:rPr>
      </w:pPr>
    </w:p>
    <w:p w:rsidR="00EE0289" w:rsidRDefault="00EE0289" w:rsidP="00EE028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E0289" w:rsidRDefault="00EE0289" w:rsidP="00EE028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EE0289" w:rsidRDefault="00EE0289" w:rsidP="00EE0289">
      <w:pPr>
        <w:pStyle w:val="12"/>
        <w:spacing w:line="360" w:lineRule="auto"/>
        <w:ind w:firstLine="400"/>
        <w:rPr>
          <w:rFonts w:ascii="宋体" w:hAnsi="宋体" w:cs="宋体"/>
          <w:sz w:val="20"/>
          <w:szCs w:val="21"/>
        </w:rPr>
      </w:pPr>
    </w:p>
    <w:p w:rsidR="00EE0289" w:rsidRDefault="00EE0289" w:rsidP="00EE0289">
      <w:pPr>
        <w:spacing w:line="360" w:lineRule="auto"/>
        <w:rPr>
          <w:rStyle w:val="fontstyle01"/>
          <w:rFonts w:hint="default"/>
          <w:sz w:val="20"/>
        </w:rPr>
      </w:pPr>
      <w:r>
        <w:rPr>
          <w:rStyle w:val="fontstyle01"/>
          <w:rFonts w:hint="default"/>
          <w:sz w:val="20"/>
        </w:rPr>
        <w:t>个人投资者（如适用）：                   机构投资者（如适用）：</w:t>
      </w:r>
    </w:p>
    <w:p w:rsidR="00EE0289" w:rsidRDefault="00EE0289" w:rsidP="00EE028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E0289" w:rsidRDefault="00EE0289" w:rsidP="00EE0289">
      <w:pPr>
        <w:spacing w:line="360" w:lineRule="auto"/>
        <w:rPr>
          <w:rStyle w:val="fontstyle01"/>
          <w:rFonts w:hint="default"/>
          <w:sz w:val="20"/>
        </w:rPr>
      </w:pPr>
      <w:r>
        <w:rPr>
          <w:rStyle w:val="fontstyle01"/>
          <w:rFonts w:hint="default"/>
          <w:sz w:val="20"/>
        </w:rPr>
        <w:t xml:space="preserve">   年  月  日                           法定代表人或授权代理人：（签名或盖章）</w:t>
      </w:r>
    </w:p>
    <w:p w:rsidR="00EE0289" w:rsidRDefault="00EE0289" w:rsidP="00EE0289">
      <w:pPr>
        <w:widowControl/>
        <w:jc w:val="left"/>
      </w:pPr>
      <w:r>
        <w:rPr>
          <w:rStyle w:val="fontstyle01"/>
          <w:rFonts w:hint="default"/>
          <w:sz w:val="20"/>
        </w:rPr>
        <w:t xml:space="preserve">                                            年    月   日</w:t>
      </w:r>
    </w:p>
    <w:p w:rsidR="00EE0289" w:rsidRDefault="00EE0289" w:rsidP="00EE0289">
      <w:pPr>
        <w:pStyle w:val="a8"/>
        <w:ind w:firstLineChars="0" w:firstLine="0"/>
        <w:rPr>
          <w:b/>
          <w:kern w:val="0"/>
          <w:sz w:val="15"/>
          <w:szCs w:val="11"/>
        </w:rPr>
      </w:pPr>
    </w:p>
    <w:p w:rsidR="00EE0289" w:rsidRDefault="00EE0289" w:rsidP="00EE0289">
      <w:pPr>
        <w:pStyle w:val="a8"/>
        <w:ind w:firstLine="301"/>
        <w:rPr>
          <w:rFonts w:ascii="宋体"/>
          <w:b/>
          <w:bCs/>
          <w:color w:val="3D3D3D"/>
          <w:kern w:val="0"/>
          <w:sz w:val="15"/>
          <w:szCs w:val="15"/>
        </w:rPr>
      </w:pPr>
    </w:p>
    <w:p w:rsidR="00EE0289" w:rsidRDefault="00EE0289" w:rsidP="00EE0289">
      <w:pPr>
        <w:pStyle w:val="a8"/>
        <w:ind w:firstLine="301"/>
        <w:rPr>
          <w:rFonts w:ascii="宋体"/>
          <w:b/>
          <w:bCs/>
          <w:color w:val="3D3D3D"/>
          <w:kern w:val="0"/>
          <w:sz w:val="15"/>
          <w:szCs w:val="15"/>
        </w:rPr>
      </w:pPr>
    </w:p>
    <w:p w:rsidR="00EE0289" w:rsidRPr="00EE0289" w:rsidRDefault="00EE0289" w:rsidP="00EE0289">
      <w:pPr>
        <w:rPr>
          <w:rFonts w:hint="eastAsia"/>
        </w:rPr>
      </w:pPr>
    </w:p>
    <w:sectPr w:rsidR="00EE0289" w:rsidRPr="00EE028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D1" w:rsidRDefault="00046FD1">
      <w:r>
        <w:separator/>
      </w:r>
    </w:p>
  </w:endnote>
  <w:endnote w:type="continuationSeparator" w:id="0">
    <w:p w:rsidR="00046FD1" w:rsidRDefault="0004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89" w:rsidRDefault="00EE02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D1" w:rsidRDefault="00046FD1">
      <w:r>
        <w:separator/>
      </w:r>
    </w:p>
  </w:footnote>
  <w:footnote w:type="continuationSeparator" w:id="0">
    <w:p w:rsidR="00046FD1" w:rsidRDefault="0004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89" w:rsidRDefault="00EE028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52" w:rsidRDefault="00046FD1">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17EC0"/>
    <w:multiLevelType w:val="multilevel"/>
    <w:tmpl w:val="B3F06E9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D0E2EFE"/>
    <w:multiLevelType w:val="hybridMultilevel"/>
    <w:tmpl w:val="1ACC6E42"/>
    <w:lvl w:ilvl="0" w:tplc="5608CA2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3F4E484">
      <w:start w:val="1"/>
      <w:numFmt w:val="lowerLetter"/>
      <w:lvlText w:val="%2)"/>
      <w:lvlJc w:val="left"/>
      <w:pPr>
        <w:tabs>
          <w:tab w:val="num" w:pos="0"/>
        </w:tabs>
        <w:ind w:left="1141" w:hanging="420"/>
      </w:pPr>
      <w:rPr>
        <w:rFonts w:ascii="方正黑体_GBK" w:eastAsia="方正黑体_GBK" w:hAnsi="方正黑体_GBK" w:hint="default"/>
      </w:rPr>
    </w:lvl>
    <w:lvl w:ilvl="2" w:tplc="36E45C18">
      <w:start w:val="1"/>
      <w:numFmt w:val="decimal"/>
      <w:lvlText w:val="%3."/>
      <w:lvlJc w:val="right"/>
      <w:pPr>
        <w:tabs>
          <w:tab w:val="num" w:pos="0"/>
        </w:tabs>
        <w:ind w:left="1561" w:hanging="420"/>
      </w:pPr>
      <w:rPr>
        <w:rFonts w:ascii="方正黑体_GBK" w:eastAsia="方正黑体_GBK" w:hAnsi="方正黑体_GBK" w:hint="default"/>
      </w:rPr>
    </w:lvl>
    <w:lvl w:ilvl="3" w:tplc="987E9D78">
      <w:start w:val="1"/>
      <w:numFmt w:val="decimal"/>
      <w:lvlText w:val="%4."/>
      <w:lvlJc w:val="left"/>
      <w:pPr>
        <w:tabs>
          <w:tab w:val="num" w:pos="0"/>
        </w:tabs>
        <w:ind w:left="1981" w:hanging="420"/>
      </w:pPr>
      <w:rPr>
        <w:rFonts w:ascii="方正黑体_GBK" w:eastAsia="方正黑体_GBK" w:hAnsi="方正黑体_GBK" w:hint="default"/>
      </w:rPr>
    </w:lvl>
    <w:lvl w:ilvl="4" w:tplc="78B67E42">
      <w:start w:val="1"/>
      <w:numFmt w:val="lowerLetter"/>
      <w:lvlText w:val="%5)"/>
      <w:lvlJc w:val="left"/>
      <w:pPr>
        <w:tabs>
          <w:tab w:val="num" w:pos="0"/>
        </w:tabs>
        <w:ind w:left="2401" w:hanging="420"/>
      </w:pPr>
      <w:rPr>
        <w:rFonts w:ascii="方正黑体_GBK" w:eastAsia="方正黑体_GBK" w:hAnsi="方正黑体_GBK" w:hint="default"/>
      </w:rPr>
    </w:lvl>
    <w:lvl w:ilvl="5" w:tplc="121076C4">
      <w:start w:val="1"/>
      <w:numFmt w:val="decimal"/>
      <w:lvlText w:val="%6."/>
      <w:lvlJc w:val="right"/>
      <w:pPr>
        <w:tabs>
          <w:tab w:val="num" w:pos="0"/>
        </w:tabs>
        <w:ind w:left="2821" w:hanging="420"/>
      </w:pPr>
      <w:rPr>
        <w:rFonts w:ascii="方正黑体_GBK" w:eastAsia="方正黑体_GBK" w:hAnsi="方正黑体_GBK" w:hint="default"/>
      </w:rPr>
    </w:lvl>
    <w:lvl w:ilvl="6" w:tplc="C018CCF2">
      <w:start w:val="1"/>
      <w:numFmt w:val="decimal"/>
      <w:lvlText w:val="%7."/>
      <w:lvlJc w:val="left"/>
      <w:pPr>
        <w:tabs>
          <w:tab w:val="num" w:pos="0"/>
        </w:tabs>
        <w:ind w:left="3241" w:hanging="420"/>
      </w:pPr>
      <w:rPr>
        <w:rFonts w:ascii="方正黑体_GBK" w:eastAsia="方正黑体_GBK" w:hAnsi="方正黑体_GBK" w:hint="default"/>
      </w:rPr>
    </w:lvl>
    <w:lvl w:ilvl="7" w:tplc="F862604C">
      <w:start w:val="1"/>
      <w:numFmt w:val="lowerLetter"/>
      <w:lvlText w:val="%8)"/>
      <w:lvlJc w:val="left"/>
      <w:pPr>
        <w:tabs>
          <w:tab w:val="num" w:pos="0"/>
        </w:tabs>
        <w:ind w:left="3661" w:hanging="420"/>
      </w:pPr>
      <w:rPr>
        <w:rFonts w:ascii="方正黑体_GBK" w:eastAsia="方正黑体_GBK" w:hAnsi="方正黑体_GBK" w:hint="default"/>
      </w:rPr>
    </w:lvl>
    <w:lvl w:ilvl="8" w:tplc="C7688E2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AE40B0A"/>
    <w:multiLevelType w:val="multilevel"/>
    <w:tmpl w:val="7C9C0AB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83D1589"/>
    <w:multiLevelType w:val="hybridMultilevel"/>
    <w:tmpl w:val="AE267396"/>
    <w:lvl w:ilvl="0" w:tplc="B178ED90">
      <w:start w:val="1"/>
      <w:numFmt w:val="decimal"/>
      <w:lvlRestart w:val="0"/>
      <w:lvlText w:val="%1."/>
      <w:lvlJc w:val="left"/>
      <w:pPr>
        <w:tabs>
          <w:tab w:val="num" w:pos="0"/>
        </w:tabs>
        <w:ind w:left="660" w:hanging="360"/>
      </w:pPr>
      <w:rPr>
        <w:rFonts w:ascii="方正黑体_GBK" w:eastAsia="方正黑体_GBK" w:hAnsi="方正黑体_GBK" w:hint="default"/>
      </w:rPr>
    </w:lvl>
    <w:lvl w:ilvl="1" w:tplc="3F202408">
      <w:start w:val="1"/>
      <w:numFmt w:val="lowerLetter"/>
      <w:lvlText w:val="%2)"/>
      <w:lvlJc w:val="left"/>
      <w:pPr>
        <w:tabs>
          <w:tab w:val="num" w:pos="0"/>
        </w:tabs>
        <w:ind w:left="1140" w:hanging="420"/>
      </w:pPr>
      <w:rPr>
        <w:rFonts w:ascii="方正黑体_GBK" w:eastAsia="方正黑体_GBK" w:hAnsi="方正黑体_GBK" w:hint="default"/>
      </w:rPr>
    </w:lvl>
    <w:lvl w:ilvl="2" w:tplc="B5029936">
      <w:start w:val="1"/>
      <w:numFmt w:val="decimal"/>
      <w:lvlText w:val="%3."/>
      <w:lvlJc w:val="right"/>
      <w:pPr>
        <w:tabs>
          <w:tab w:val="num" w:pos="0"/>
        </w:tabs>
        <w:ind w:left="1560" w:hanging="420"/>
      </w:pPr>
      <w:rPr>
        <w:rFonts w:ascii="方正黑体_GBK" w:eastAsia="方正黑体_GBK" w:hAnsi="方正黑体_GBK" w:hint="default"/>
      </w:rPr>
    </w:lvl>
    <w:lvl w:ilvl="3" w:tplc="266EC7EC">
      <w:start w:val="1"/>
      <w:numFmt w:val="decimal"/>
      <w:lvlText w:val="%4."/>
      <w:lvlJc w:val="left"/>
      <w:pPr>
        <w:tabs>
          <w:tab w:val="num" w:pos="0"/>
        </w:tabs>
        <w:ind w:left="1980" w:hanging="420"/>
      </w:pPr>
      <w:rPr>
        <w:rFonts w:ascii="方正黑体_GBK" w:eastAsia="方正黑体_GBK" w:hAnsi="方正黑体_GBK" w:hint="default"/>
      </w:rPr>
    </w:lvl>
    <w:lvl w:ilvl="4" w:tplc="5EF0A202">
      <w:start w:val="1"/>
      <w:numFmt w:val="lowerLetter"/>
      <w:lvlText w:val="%5)"/>
      <w:lvlJc w:val="left"/>
      <w:pPr>
        <w:tabs>
          <w:tab w:val="num" w:pos="0"/>
        </w:tabs>
        <w:ind w:left="2400" w:hanging="420"/>
      </w:pPr>
      <w:rPr>
        <w:rFonts w:ascii="方正黑体_GBK" w:eastAsia="方正黑体_GBK" w:hAnsi="方正黑体_GBK" w:hint="default"/>
      </w:rPr>
    </w:lvl>
    <w:lvl w:ilvl="5" w:tplc="C23AAA46">
      <w:start w:val="1"/>
      <w:numFmt w:val="decimal"/>
      <w:lvlText w:val="%6."/>
      <w:lvlJc w:val="right"/>
      <w:pPr>
        <w:tabs>
          <w:tab w:val="num" w:pos="0"/>
        </w:tabs>
        <w:ind w:left="2820" w:hanging="420"/>
      </w:pPr>
      <w:rPr>
        <w:rFonts w:ascii="方正黑体_GBK" w:eastAsia="方正黑体_GBK" w:hAnsi="方正黑体_GBK" w:hint="default"/>
      </w:rPr>
    </w:lvl>
    <w:lvl w:ilvl="6" w:tplc="F41EAF74">
      <w:start w:val="1"/>
      <w:numFmt w:val="decimal"/>
      <w:lvlText w:val="%7."/>
      <w:lvlJc w:val="left"/>
      <w:pPr>
        <w:tabs>
          <w:tab w:val="num" w:pos="0"/>
        </w:tabs>
        <w:ind w:left="3240" w:hanging="420"/>
      </w:pPr>
      <w:rPr>
        <w:rFonts w:ascii="方正黑体_GBK" w:eastAsia="方正黑体_GBK" w:hAnsi="方正黑体_GBK" w:hint="default"/>
      </w:rPr>
    </w:lvl>
    <w:lvl w:ilvl="7" w:tplc="9D9C0D30">
      <w:start w:val="1"/>
      <w:numFmt w:val="lowerLetter"/>
      <w:lvlText w:val="%8)"/>
      <w:lvlJc w:val="left"/>
      <w:pPr>
        <w:tabs>
          <w:tab w:val="num" w:pos="0"/>
        </w:tabs>
        <w:ind w:left="3660" w:hanging="420"/>
      </w:pPr>
      <w:rPr>
        <w:rFonts w:ascii="方正黑体_GBK" w:eastAsia="方正黑体_GBK" w:hAnsi="方正黑体_GBK" w:hint="default"/>
      </w:rPr>
    </w:lvl>
    <w:lvl w:ilvl="8" w:tplc="24D8C19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4"/>
  </w:num>
  <w:num w:numId="3">
    <w:abstractNumId w:val="1"/>
  </w:num>
  <w:num w:numId="4">
    <w:abstractNumId w:val="13"/>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83B52"/>
    <w:rsid w:val="00046FD1"/>
    <w:rsid w:val="00C83B52"/>
    <w:rsid w:val="00EE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F8EB"/>
  <w15:docId w15:val="{36640027-D042-4C19-BFEF-488FA73C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365525b5">
    <w:name w:val="Normal365525b5"/>
    <w:pPr>
      <w:widowControl w:val="0"/>
      <w:jc w:val="both"/>
    </w:pPr>
    <w:rPr>
      <w:rFonts w:ascii="方正黑体_GBK" w:eastAsia="方正黑体_GBK" w:hAnsi="方正黑体_GBK" w:cs="Times New Roman"/>
      <w:szCs w:val="21"/>
    </w:rPr>
  </w:style>
  <w:style w:type="paragraph" w:customStyle="1" w:styleId="heading1bbb92d03">
    <w:name w:val="heading 1bbb92d03"/>
    <w:basedOn w:val="Normal365525b5"/>
    <w:next w:val="a"/>
    <w:pPr>
      <w:keepNext/>
      <w:keepLines/>
      <w:spacing w:before="340" w:after="330" w:line="578" w:lineRule="auto"/>
      <w:outlineLvl w:val="0"/>
    </w:pPr>
    <w:rPr>
      <w:b/>
      <w:bCs/>
      <w:kern w:val="44"/>
      <w:sz w:val="44"/>
    </w:rPr>
  </w:style>
  <w:style w:type="paragraph" w:customStyle="1" w:styleId="heading255931740">
    <w:name w:val="heading 255931740"/>
    <w:basedOn w:val="Normal365525b5"/>
    <w:next w:val="a"/>
    <w:pPr>
      <w:keepNext/>
      <w:keepLines/>
      <w:spacing w:before="260" w:after="260" w:line="415" w:lineRule="auto"/>
      <w:outlineLvl w:val="1"/>
    </w:pPr>
    <w:rPr>
      <w:b/>
      <w:sz w:val="32"/>
    </w:rPr>
  </w:style>
  <w:style w:type="paragraph" w:customStyle="1" w:styleId="heading3e047aa58">
    <w:name w:val="heading 3e047aa58"/>
    <w:basedOn w:val="Normal365525b5"/>
    <w:next w:val="a"/>
    <w:pPr>
      <w:keepNext/>
      <w:keepLines/>
      <w:spacing w:before="260" w:after="260" w:line="415" w:lineRule="auto"/>
      <w:outlineLvl w:val="2"/>
    </w:pPr>
    <w:rPr>
      <w:b/>
      <w:sz w:val="32"/>
    </w:rPr>
  </w:style>
  <w:style w:type="character" w:customStyle="1" w:styleId="DefaultParagraphFont768a9e67">
    <w:name w:val="Default Paragraph Font768a9e67"/>
  </w:style>
  <w:style w:type="paragraph" w:customStyle="1" w:styleId="toc153ae689d">
    <w:name w:val="toc 153ae689d"/>
    <w:basedOn w:val="Normal365525b5"/>
    <w:next w:val="a"/>
    <w:autoRedefine/>
  </w:style>
  <w:style w:type="paragraph" w:customStyle="1" w:styleId="toc21ab64c0c">
    <w:name w:val="toc 21ab64c0c"/>
    <w:basedOn w:val="Normal365525b5"/>
    <w:next w:val="a"/>
    <w:autoRedefine/>
    <w:pPr>
      <w:ind w:left="420"/>
    </w:pPr>
  </w:style>
  <w:style w:type="paragraph" w:customStyle="1" w:styleId="toc392fb576b">
    <w:name w:val="toc 392fb576b"/>
    <w:basedOn w:val="Normal365525b5"/>
    <w:next w:val="a"/>
    <w:autoRedefine/>
    <w:pPr>
      <w:ind w:left="840"/>
    </w:pPr>
  </w:style>
  <w:style w:type="paragraph" w:customStyle="1" w:styleId="toc4481fcde8">
    <w:name w:val="toc 4481fcde8"/>
    <w:basedOn w:val="Normal365525b5"/>
    <w:next w:val="a"/>
    <w:autoRedefine/>
    <w:pPr>
      <w:ind w:left="1260"/>
    </w:pPr>
  </w:style>
  <w:style w:type="paragraph" w:customStyle="1" w:styleId="toc510e995fa">
    <w:name w:val="toc 510e995fa"/>
    <w:basedOn w:val="Normal365525b5"/>
    <w:next w:val="a"/>
    <w:autoRedefine/>
    <w:pPr>
      <w:ind w:left="1680"/>
    </w:pPr>
  </w:style>
  <w:style w:type="paragraph" w:customStyle="1" w:styleId="headerbbf22155">
    <w:name w:val="headerbbf22155"/>
    <w:basedOn w:val="Normal365525b5"/>
    <w:pPr>
      <w:pBdr>
        <w:bottom w:val="single" w:sz="6" w:space="1" w:color="auto"/>
      </w:pBdr>
      <w:tabs>
        <w:tab w:val="center" w:pos="4153"/>
        <w:tab w:val="right" w:pos="8307"/>
      </w:tabs>
      <w:snapToGrid w:val="0"/>
      <w:jc w:val="center"/>
    </w:pPr>
    <w:rPr>
      <w:sz w:val="18"/>
    </w:rPr>
  </w:style>
  <w:style w:type="paragraph" w:customStyle="1" w:styleId="footerd0decb7b">
    <w:name w:val="footerd0decb7b"/>
    <w:basedOn w:val="Normal365525b5"/>
    <w:pPr>
      <w:tabs>
        <w:tab w:val="center" w:pos="4153"/>
        <w:tab w:val="right" w:pos="8307"/>
      </w:tabs>
      <w:snapToGrid w:val="0"/>
      <w:jc w:val="left"/>
    </w:pPr>
    <w:rPr>
      <w:sz w:val="18"/>
    </w:rPr>
  </w:style>
  <w:style w:type="character" w:customStyle="1" w:styleId="Strong77797eaf">
    <w:name w:val="Strong77797eaf"/>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ca83400">
    <w:name w:val="Normal8ca83400"/>
    <w:next w:val="10"/>
    <w:pPr>
      <w:widowControl w:val="0"/>
      <w:jc w:val="both"/>
    </w:pPr>
    <w:rPr>
      <w:rFonts w:ascii="方正黑体_GBK" w:eastAsia="方正黑体_GBK" w:hAnsi="方正黑体_GBK" w:cs="Times New Roman"/>
      <w:sz w:val="18"/>
      <w:szCs w:val="18"/>
    </w:rPr>
  </w:style>
  <w:style w:type="paragraph" w:customStyle="1" w:styleId="heading16b3e198e">
    <w:name w:val="heading 16b3e198e"/>
    <w:basedOn w:val="Normal8ca83400"/>
    <w:next w:val="a"/>
    <w:pPr>
      <w:keepNext/>
      <w:keepLines/>
      <w:spacing w:before="340" w:after="330" w:line="578" w:lineRule="auto"/>
      <w:outlineLvl w:val="0"/>
    </w:pPr>
    <w:rPr>
      <w:b/>
      <w:bCs/>
      <w:kern w:val="44"/>
      <w:sz w:val="44"/>
    </w:rPr>
  </w:style>
  <w:style w:type="paragraph" w:customStyle="1" w:styleId="heading2467f1d91">
    <w:name w:val="heading 2467f1d91"/>
    <w:basedOn w:val="Normal8ca83400"/>
    <w:next w:val="a"/>
    <w:pPr>
      <w:keepNext/>
      <w:keepLines/>
      <w:spacing w:before="260" w:after="260" w:line="415" w:lineRule="auto"/>
      <w:outlineLvl w:val="1"/>
    </w:pPr>
    <w:rPr>
      <w:b/>
      <w:sz w:val="32"/>
    </w:rPr>
  </w:style>
  <w:style w:type="paragraph" w:customStyle="1" w:styleId="heading317d5eb9f">
    <w:name w:val="heading 317d5eb9f"/>
    <w:basedOn w:val="Normal8ca83400"/>
    <w:next w:val="a"/>
    <w:pPr>
      <w:keepNext/>
      <w:keepLines/>
      <w:spacing w:before="260" w:after="260" w:line="415" w:lineRule="auto"/>
      <w:outlineLvl w:val="2"/>
    </w:pPr>
    <w:rPr>
      <w:b/>
      <w:sz w:val="32"/>
    </w:rPr>
  </w:style>
  <w:style w:type="character" w:customStyle="1" w:styleId="DefaultParagraphFontada8a3e0">
    <w:name w:val="Default Paragraph Fontada8a3e0"/>
  </w:style>
  <w:style w:type="paragraph" w:customStyle="1" w:styleId="NormalIndent720a88db">
    <w:name w:val="Normal Indent720a88db"/>
    <w:basedOn w:val="Normal8ca83400"/>
    <w:pPr>
      <w:ind w:firstLineChars="200" w:firstLine="200"/>
    </w:pPr>
  </w:style>
  <w:style w:type="paragraph" w:customStyle="1" w:styleId="toc513c1d9ca">
    <w:name w:val="toc 513c1d9ca"/>
    <w:basedOn w:val="Normal8ca83400"/>
    <w:next w:val="a"/>
    <w:pPr>
      <w:ind w:left="1680"/>
    </w:pPr>
  </w:style>
  <w:style w:type="paragraph" w:customStyle="1" w:styleId="toc3f433715d">
    <w:name w:val="toc 3f433715d"/>
    <w:basedOn w:val="Normal8ca83400"/>
    <w:next w:val="a"/>
    <w:pPr>
      <w:ind w:left="840"/>
    </w:pPr>
  </w:style>
  <w:style w:type="paragraph" w:customStyle="1" w:styleId="footer2988cc28">
    <w:name w:val="footer2988cc28"/>
    <w:basedOn w:val="Normal8ca83400"/>
    <w:pPr>
      <w:tabs>
        <w:tab w:val="center" w:pos="4153"/>
        <w:tab w:val="right" w:pos="8307"/>
      </w:tabs>
      <w:snapToGrid w:val="0"/>
      <w:jc w:val="left"/>
    </w:pPr>
  </w:style>
  <w:style w:type="paragraph" w:customStyle="1" w:styleId="headerafa5c98d">
    <w:name w:val="headerafa5c98d"/>
    <w:basedOn w:val="Normal8ca83400"/>
    <w:pPr>
      <w:pBdr>
        <w:bottom w:val="single" w:sz="6" w:space="1" w:color="auto"/>
      </w:pBdr>
      <w:tabs>
        <w:tab w:val="center" w:pos="4153"/>
        <w:tab w:val="right" w:pos="8307"/>
      </w:tabs>
      <w:snapToGrid w:val="0"/>
      <w:jc w:val="center"/>
    </w:pPr>
  </w:style>
  <w:style w:type="paragraph" w:customStyle="1" w:styleId="toc101e07852">
    <w:name w:val="toc 101e07852"/>
    <w:basedOn w:val="Normal8ca83400"/>
    <w:next w:val="a"/>
  </w:style>
  <w:style w:type="paragraph" w:customStyle="1" w:styleId="toc4c73b1aeb">
    <w:name w:val="toc 4c73b1aeb"/>
    <w:basedOn w:val="Normal8ca83400"/>
    <w:next w:val="a"/>
    <w:pPr>
      <w:ind w:left="1260"/>
    </w:pPr>
  </w:style>
  <w:style w:type="paragraph" w:customStyle="1" w:styleId="toc211a18f8e">
    <w:name w:val="toc 211a18f8e"/>
    <w:basedOn w:val="Normal8ca83400"/>
    <w:next w:val="a"/>
    <w:pPr>
      <w:ind w:left="420"/>
    </w:pPr>
  </w:style>
  <w:style w:type="paragraph" w:customStyle="1" w:styleId="NormalWebe8a36c1f">
    <w:name w:val="Normal (Web)e8a36c1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4e9aba404e9aba4">
    <w:name w:val="Normal04e9aba404e9aba4"/>
    <w:next w:val="10"/>
    <w:pPr>
      <w:widowControl w:val="0"/>
      <w:jc w:val="both"/>
    </w:pPr>
    <w:rPr>
      <w:rFonts w:ascii="方正黑体_GBK" w:eastAsia="方正黑体_GBK" w:hAnsi="方正黑体_GBK" w:cs="Times New Roman"/>
      <w:szCs w:val="21"/>
    </w:rPr>
  </w:style>
  <w:style w:type="paragraph" w:customStyle="1" w:styleId="heading159335d0159335d01">
    <w:name w:val="heading 159335d0159335d01"/>
    <w:basedOn w:val="Normal04e9aba404e9aba4"/>
    <w:next w:val="a"/>
    <w:pPr>
      <w:keepNext/>
      <w:keepLines/>
      <w:spacing w:before="340" w:after="330" w:line="578" w:lineRule="auto"/>
      <w:outlineLvl w:val="0"/>
    </w:pPr>
    <w:rPr>
      <w:b/>
      <w:bCs/>
      <w:kern w:val="44"/>
      <w:sz w:val="44"/>
    </w:rPr>
  </w:style>
  <w:style w:type="paragraph" w:customStyle="1" w:styleId="heading2196f242c196f242c">
    <w:name w:val="heading 2196f242c196f242c"/>
    <w:basedOn w:val="Normal04e9aba404e9aba4"/>
    <w:next w:val="a"/>
    <w:pPr>
      <w:keepNext/>
      <w:keepLines/>
      <w:spacing w:before="260" w:after="260" w:line="415" w:lineRule="auto"/>
      <w:outlineLvl w:val="1"/>
    </w:pPr>
    <w:rPr>
      <w:b/>
      <w:sz w:val="32"/>
    </w:rPr>
  </w:style>
  <w:style w:type="paragraph" w:customStyle="1" w:styleId="heading390f4d0fe90f4d0fe">
    <w:name w:val="heading 390f4d0fe90f4d0fe"/>
    <w:basedOn w:val="Normal04e9aba404e9aba4"/>
    <w:next w:val="a"/>
    <w:pPr>
      <w:keepNext/>
      <w:keepLines/>
      <w:spacing w:before="260" w:after="260" w:line="415" w:lineRule="auto"/>
      <w:outlineLvl w:val="2"/>
    </w:pPr>
    <w:rPr>
      <w:b/>
      <w:sz w:val="32"/>
    </w:rPr>
  </w:style>
  <w:style w:type="character" w:customStyle="1" w:styleId="DefaultParagraphFonte153be8ce153be8c">
    <w:name w:val="Default Paragraph Fonte153be8ce153be8c"/>
  </w:style>
  <w:style w:type="paragraph" w:customStyle="1" w:styleId="1c98f0242c98f0242">
    <w:name w:val="引文目录1c98f0242c98f0242"/>
    <w:basedOn w:val="Normal04e9aba404e9aba4"/>
    <w:next w:val="a"/>
    <w:pPr>
      <w:ind w:leftChars="200" w:left="200"/>
    </w:pPr>
  </w:style>
  <w:style w:type="paragraph" w:customStyle="1" w:styleId="toc5c285560bc285560b">
    <w:name w:val="toc 5c285560bc285560b"/>
    <w:basedOn w:val="Normal04e9aba404e9aba4"/>
    <w:next w:val="a"/>
    <w:pPr>
      <w:ind w:left="1680"/>
    </w:pPr>
  </w:style>
  <w:style w:type="paragraph" w:customStyle="1" w:styleId="toc3aa3d3141aa3d3141">
    <w:name w:val="toc 3aa3d3141aa3d3141"/>
    <w:basedOn w:val="Normal04e9aba404e9aba4"/>
    <w:next w:val="a"/>
    <w:pPr>
      <w:ind w:left="840"/>
    </w:pPr>
  </w:style>
  <w:style w:type="paragraph" w:customStyle="1" w:styleId="footer3158ae023158ae02">
    <w:name w:val="footer3158ae023158ae02"/>
    <w:basedOn w:val="Normal04e9aba404e9aba4"/>
    <w:pPr>
      <w:tabs>
        <w:tab w:val="center" w:pos="4153"/>
        <w:tab w:val="right" w:pos="8307"/>
      </w:tabs>
      <w:snapToGrid w:val="0"/>
      <w:jc w:val="left"/>
    </w:pPr>
    <w:rPr>
      <w:sz w:val="18"/>
    </w:rPr>
  </w:style>
  <w:style w:type="paragraph" w:customStyle="1" w:styleId="header8812fb8b8812fb8b">
    <w:name w:val="header8812fb8b8812fb8b"/>
    <w:basedOn w:val="Normal04e9aba404e9aba4"/>
    <w:pPr>
      <w:pBdr>
        <w:bottom w:val="single" w:sz="6" w:space="1" w:color="auto"/>
      </w:pBdr>
      <w:tabs>
        <w:tab w:val="center" w:pos="4153"/>
        <w:tab w:val="right" w:pos="8307"/>
      </w:tabs>
      <w:snapToGrid w:val="0"/>
      <w:jc w:val="center"/>
    </w:pPr>
    <w:rPr>
      <w:sz w:val="18"/>
    </w:rPr>
  </w:style>
  <w:style w:type="paragraph" w:customStyle="1" w:styleId="toc1dba35502dba35502">
    <w:name w:val="toc 1dba35502dba35502"/>
    <w:basedOn w:val="Normal04e9aba404e9aba4"/>
    <w:next w:val="a"/>
  </w:style>
  <w:style w:type="paragraph" w:customStyle="1" w:styleId="toc4b37e4c6bb37e4c6b">
    <w:name w:val="toc 4b37e4c6bb37e4c6b"/>
    <w:basedOn w:val="Normal04e9aba404e9aba4"/>
    <w:next w:val="a"/>
    <w:pPr>
      <w:ind w:left="1260"/>
    </w:pPr>
  </w:style>
  <w:style w:type="paragraph" w:customStyle="1" w:styleId="toc2f7f2bc15f7f2bc15">
    <w:name w:val="toc 2f7f2bc15f7f2bc15"/>
    <w:basedOn w:val="Normal04e9aba404e9aba4"/>
    <w:next w:val="a"/>
    <w:pPr>
      <w:ind w:left="420"/>
    </w:pPr>
  </w:style>
  <w:style w:type="paragraph" w:customStyle="1" w:styleId="1b14e2275b14e2275">
    <w:name w:val="列出段落1b14e2275b14e2275"/>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EE0289"/>
    <w:rPr>
      <w:rFonts w:ascii="方正黑体_GBK" w:eastAsia="方正黑体_GBK" w:hAnsi="方正黑体_GBK" w:cs="Times New Roman"/>
      <w:sz w:val="18"/>
      <w:szCs w:val="21"/>
    </w:rPr>
  </w:style>
  <w:style w:type="character" w:customStyle="1" w:styleId="a6">
    <w:name w:val="页脚 字符"/>
    <w:basedOn w:val="a0"/>
    <w:link w:val="a5"/>
    <w:rsid w:val="00EE0289"/>
    <w:rPr>
      <w:rFonts w:ascii="方正黑体_GBK" w:eastAsia="方正黑体_GBK" w:hAnsi="方正黑体_GBK" w:cs="Times New Roman"/>
      <w:sz w:val="18"/>
      <w:szCs w:val="21"/>
    </w:rPr>
  </w:style>
  <w:style w:type="paragraph" w:styleId="a8">
    <w:name w:val="Normal Indent"/>
    <w:basedOn w:val="a"/>
    <w:qFormat/>
    <w:rsid w:val="00EE0289"/>
    <w:pPr>
      <w:ind w:firstLineChars="200" w:firstLine="200"/>
    </w:pPr>
    <w:rPr>
      <w:rFonts w:ascii="Times New Roman" w:eastAsia="宋体" w:hAnsi="Times New Roman"/>
      <w:sz w:val="18"/>
      <w:szCs w:val="18"/>
    </w:rPr>
  </w:style>
  <w:style w:type="paragraph" w:styleId="a9">
    <w:name w:val="annotation text"/>
    <w:basedOn w:val="a"/>
    <w:link w:val="aa"/>
    <w:rsid w:val="00EE0289"/>
    <w:pPr>
      <w:jc w:val="left"/>
    </w:pPr>
    <w:rPr>
      <w:rFonts w:ascii="Times New Roman" w:eastAsia="宋体" w:hAnsi="Times New Roman"/>
      <w:sz w:val="18"/>
      <w:szCs w:val="18"/>
    </w:rPr>
  </w:style>
  <w:style w:type="character" w:customStyle="1" w:styleId="aa">
    <w:name w:val="批注文字 字符"/>
    <w:basedOn w:val="a0"/>
    <w:link w:val="a9"/>
    <w:rsid w:val="00EE0289"/>
    <w:rPr>
      <w:rFonts w:ascii="Times New Roman" w:eastAsia="宋体" w:hAnsi="Times New Roman" w:cs="Times New Roman"/>
      <w:sz w:val="18"/>
      <w:szCs w:val="18"/>
    </w:rPr>
  </w:style>
  <w:style w:type="paragraph" w:styleId="ab">
    <w:name w:val="Normal (Web)"/>
    <w:next w:val="10"/>
    <w:qFormat/>
    <w:rsid w:val="00EE028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EE028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EE0289"/>
    <w:pPr>
      <w:ind w:firstLineChars="200" w:firstLine="420"/>
    </w:pPr>
    <w:rPr>
      <w:rFonts w:ascii="Times New Roman" w:eastAsia="宋体" w:hAnsi="Times New Roman"/>
      <w:sz w:val="18"/>
      <w:szCs w:val="18"/>
    </w:rPr>
  </w:style>
  <w:style w:type="character" w:customStyle="1" w:styleId="fontstyle01">
    <w:name w:val="fontstyle01"/>
    <w:qFormat/>
    <w:rsid w:val="00EE028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6069</Words>
  <Characters>34597</Characters>
  <Application>Microsoft Office Word</Application>
  <DocSecurity>0</DocSecurity>
  <Lines>288</Lines>
  <Paragraphs>81</Paragraphs>
  <ScaleCrop>false</ScaleCrop>
  <Company>P R C</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