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QWF06GI7RSA00TGRPRNIL0C7ZCMOAGREJ0XXJDWXGI8TGLTZ0BJQCJFFSUTPD6RAUMXHOLJZI678MJJRXFTVFFU89Q0WI5BAXOOQHB3D94CCA594C57A6D1C863E4AF7BDC4135" Type="http://schemas.microsoft.com/office/2006/relationships/officeDocumentMain" Target="docProps/core.xml"/><Relationship Id="SKWM86GQ79TA05BG9GR8RL097NLMOAGREE0XFJDWXFFRTGCTZ0BR6CJTFYRTP8RRXXM6EOZMZIX78MXJRJFAYFFV89CMWMCB8SODDHB39C457535266EC1D758B3244F5E91DDA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南银理财珠联璧合安稳1908一年定开公募人民币理财产品2024年9月11日开放、净值及分红公告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南银理财珠联璧合安稳1908一年定开公募人民币理财产品（产品登记编码Z7003221000023，内部销售代码Z30004）成立于2019年8月15日，于2024年9月5日至2024年9月11日开放申购/赎回。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2024年9月11日分红如下：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1.0397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0.0397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2024-09-11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2024-09-11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2024-09-12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2025-09-18至2025-09-24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2025-09-24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2025-09-25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2024-09-11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1.2194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3.83%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3.83%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2023-08-31至2024-09-11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2024年09月12日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DQWF06GI7RSA00TGRPRNIL0C7ZCMOAGREJ0XXJDWXGI8TGLTZ0BJQCJFFSUTPD6RAUMXHOLJZI678MJJRXFTVFFU89Q0WI5BAXOOQHB3D94CCA594C57A6D1C863E4AF7BDC4135</vt:lpwstr>
  </property>
  <property fmtid="{D5CDD505-2E9C-101B-9397-08002B2CF9AE}" pid="5" name="_KSOProductBuildSID">
    <vt:lpwstr>B812F824201446B192351DE7AEE5EF1E</vt:lpwstr>
  </property>
</Properties>
</file>