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VWFI6GD79TA069GQYR80LJM7NNMO7GREJ0XFJDWXFM8TECTZIBJICJTFYYHPB6RXOM6OOLKZH5D8INJRUFTDFFZ89CMWHCBAEOOIHB3A979A6DA80E35B588328ED6EDAEB8DE8" Type="http://schemas.microsoft.com/office/2006/relationships/officeDocumentMain" Target="docProps/core.xml"/><Relationship Id="SPWMK6BA7RRQ00HG9ZR8ZL057ZD0OAYRQO0XLJDWXFB8TGCT6MBJIC0IFY9HPFRRXXMX9OZLZIWD8HNJQOFTYFF689C0WHCB8OODQHB3630310964FFCED17C0A21F7C29880F0A"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E9A" w:rsidRPr="00331088" w:rsidRDefault="00331088">
      <w:pPr>
        <w:jc w:val="center"/>
        <w:rPr>
          <w:rFonts w:ascii="方正黑体_GBK" w:eastAsia="方正黑体_GBK" w:hAnsi="方正黑体_GBK" w:cs="方正黑体_GBK" w:hint="eastAsia"/>
          <w:b/>
          <w:bCs/>
          <w:sz w:val="32"/>
          <w:szCs w:val="32"/>
        </w:rPr>
      </w:pPr>
      <w:r w:rsidRPr="00331088">
        <w:rPr>
          <w:rFonts w:ascii="方正黑体_GBK" w:eastAsia="方正黑体_GBK" w:hAnsi="方正黑体_GBK" w:cs="方正黑体_GBK" w:hint="eastAsia"/>
          <w:b/>
          <w:bCs/>
          <w:sz w:val="32"/>
          <w:szCs w:val="32"/>
        </w:rPr>
        <w:t>关于</w:t>
      </w:r>
      <w:proofErr w:type="gramStart"/>
      <w:r w:rsidRPr="00331088">
        <w:rPr>
          <w:rFonts w:ascii="方正黑体_GBK" w:eastAsia="方正黑体_GBK" w:hAnsi="方正黑体_GBK" w:cs="方正黑体_GBK" w:hint="eastAsia"/>
          <w:b/>
          <w:bCs/>
          <w:sz w:val="32"/>
          <w:szCs w:val="32"/>
        </w:rPr>
        <w:t>调整南银理财</w:t>
      </w:r>
      <w:proofErr w:type="gramEnd"/>
      <w:r w:rsidRPr="00331088">
        <w:rPr>
          <w:rFonts w:ascii="方正黑体_GBK" w:eastAsia="方正黑体_GBK" w:hAnsi="方正黑体_GBK" w:cs="方正黑体_GBK" w:hint="eastAsia"/>
          <w:b/>
          <w:bCs/>
          <w:sz w:val="32"/>
          <w:szCs w:val="32"/>
        </w:rPr>
        <w:t>珠联璧合行稳</w:t>
      </w:r>
      <w:r w:rsidRPr="00331088">
        <w:rPr>
          <w:rFonts w:ascii="方正黑体_GBK" w:eastAsia="方正黑体_GBK" w:hAnsi="方正黑体_GBK" w:cs="方正黑体_GBK" w:hint="eastAsia"/>
          <w:b/>
          <w:bCs/>
          <w:sz w:val="32"/>
          <w:szCs w:val="32"/>
        </w:rPr>
        <w:t>1902</w:t>
      </w:r>
      <w:r w:rsidRPr="00331088">
        <w:rPr>
          <w:rFonts w:ascii="方正黑体_GBK" w:eastAsia="方正黑体_GBK" w:hAnsi="方正黑体_GBK" w:cs="方正黑体_GBK" w:hint="eastAsia"/>
          <w:b/>
          <w:bCs/>
          <w:sz w:val="32"/>
          <w:szCs w:val="32"/>
        </w:rPr>
        <w:t>半年定开公募人民币理财产品</w:t>
      </w:r>
      <w:r w:rsidRPr="00331088">
        <w:rPr>
          <w:rFonts w:ascii="方正黑体_GBK" w:eastAsia="方正黑体_GBK" w:hAnsi="方正黑体_GBK" w:cs="方正黑体_GBK" w:hint="eastAsia"/>
          <w:b/>
          <w:bCs/>
          <w:sz w:val="32"/>
          <w:szCs w:val="32"/>
        </w:rPr>
        <w:t>相关要素</w:t>
      </w:r>
      <w:r w:rsidRPr="00331088">
        <w:rPr>
          <w:rFonts w:ascii="方正黑体_GBK" w:eastAsia="方正黑体_GBK" w:hAnsi="方正黑体_GBK" w:cs="方正黑体_GBK" w:hint="eastAsia"/>
          <w:b/>
          <w:bCs/>
          <w:sz w:val="32"/>
          <w:szCs w:val="32"/>
        </w:rPr>
        <w:t>的公告</w:t>
      </w:r>
    </w:p>
    <w:p w:rsidR="009B4E9A" w:rsidRPr="00331088" w:rsidRDefault="00331088">
      <w:pPr>
        <w:rPr>
          <w:rFonts w:ascii="方正黑体_GBK" w:eastAsia="方正黑体_GBK" w:hAnsi="方正黑体_GBK" w:cs="方正黑体_GBK" w:hint="eastAsia"/>
          <w:sz w:val="24"/>
        </w:rPr>
      </w:pPr>
      <w:r w:rsidRPr="00331088">
        <w:rPr>
          <w:rFonts w:ascii="方正黑体_GBK" w:eastAsia="方正黑体_GBK" w:hAnsi="方正黑体_GBK" w:cs="方正黑体_GBK" w:hint="eastAsia"/>
          <w:sz w:val="24"/>
        </w:rPr>
        <w:t>尊敬的投资者：</w:t>
      </w:r>
    </w:p>
    <w:p w:rsidR="009B4E9A" w:rsidRPr="00331088" w:rsidRDefault="00331088">
      <w:pPr>
        <w:spacing w:after="240"/>
        <w:ind w:firstLine="420"/>
        <w:rPr>
          <w:rFonts w:ascii="方正黑体_GBK" w:eastAsia="方正黑体_GBK" w:hAnsi="方正黑体_GBK" w:cs="方正黑体_GBK" w:hint="eastAsia"/>
          <w:sz w:val="24"/>
        </w:rPr>
      </w:pPr>
      <w:r w:rsidRPr="00331088">
        <w:rPr>
          <w:rFonts w:ascii="方正黑体_GBK" w:eastAsia="方正黑体_GBK" w:hAnsi="方正黑体_GBK" w:cs="方正黑体_GBK" w:hint="eastAsia"/>
          <w:sz w:val="24"/>
          <w:szCs w:val="32"/>
        </w:rPr>
        <w:t>根据</w:t>
      </w:r>
      <w:r w:rsidRPr="00331088">
        <w:rPr>
          <w:rFonts w:ascii="方正黑体_GBK" w:eastAsia="方正黑体_GBK" w:hAnsi="方正黑体_GBK" w:cs="方正黑体_GBK" w:hint="eastAsia"/>
          <w:sz w:val="24"/>
        </w:rPr>
        <w:t>理财产品说明书的相关约定，</w:t>
      </w:r>
      <w:r w:rsidRPr="00331088">
        <w:rPr>
          <w:rFonts w:ascii="方正黑体_GBK" w:eastAsia="方正黑体_GBK" w:hAnsi="方正黑体_GBK" w:cs="方正黑体_GBK" w:hint="eastAsia"/>
          <w:sz w:val="24"/>
        </w:rPr>
        <w:t>本公司将</w:t>
      </w:r>
      <w:proofErr w:type="gramStart"/>
      <w:r w:rsidRPr="00331088">
        <w:rPr>
          <w:rFonts w:ascii="方正黑体_GBK" w:eastAsia="方正黑体_GBK" w:hAnsi="方正黑体_GBK" w:cs="方正黑体_GBK" w:hint="eastAsia"/>
          <w:sz w:val="24"/>
        </w:rPr>
        <w:t>对南银理财</w:t>
      </w:r>
      <w:proofErr w:type="gramEnd"/>
      <w:r w:rsidRPr="00331088">
        <w:rPr>
          <w:rFonts w:ascii="方正黑体_GBK" w:eastAsia="方正黑体_GBK" w:hAnsi="方正黑体_GBK" w:cs="方正黑体_GBK" w:hint="eastAsia"/>
          <w:sz w:val="24"/>
        </w:rPr>
        <w:t>珠联璧合行稳</w:t>
      </w:r>
      <w:r w:rsidRPr="00331088">
        <w:rPr>
          <w:rFonts w:ascii="方正黑体_GBK" w:eastAsia="方正黑体_GBK" w:hAnsi="方正黑体_GBK" w:cs="方正黑体_GBK" w:hint="eastAsia"/>
          <w:sz w:val="24"/>
        </w:rPr>
        <w:t>1902</w:t>
      </w:r>
      <w:r w:rsidRPr="00331088">
        <w:rPr>
          <w:rFonts w:ascii="方正黑体_GBK" w:eastAsia="方正黑体_GBK" w:hAnsi="方正黑体_GBK" w:cs="方正黑体_GBK" w:hint="eastAsia"/>
          <w:sz w:val="24"/>
        </w:rPr>
        <w:t>半年定开公募人民币理财产品（产品登记编码：</w:t>
      </w:r>
      <w:r w:rsidRPr="00331088">
        <w:rPr>
          <w:rFonts w:ascii="方正黑体_GBK" w:eastAsia="方正黑体_GBK" w:hAnsi="方正黑体_GBK" w:cs="方正黑体_GBK" w:hint="eastAsia"/>
          <w:sz w:val="24"/>
        </w:rPr>
        <w:t>Z7003221000030</w:t>
      </w:r>
      <w:r w:rsidRPr="00331088">
        <w:rPr>
          <w:rFonts w:ascii="方正黑体_GBK" w:eastAsia="方正黑体_GBK" w:hAnsi="方正黑体_GBK" w:cs="方正黑体_GBK" w:hint="eastAsia"/>
          <w:sz w:val="24"/>
        </w:rPr>
        <w:t>）的</w:t>
      </w:r>
      <w:r w:rsidRPr="00331088">
        <w:rPr>
          <w:rFonts w:ascii="方正黑体_GBK" w:eastAsia="方正黑体_GBK" w:hAnsi="方正黑体_GBK" w:cs="方正黑体_GBK" w:hint="eastAsia"/>
          <w:sz w:val="24"/>
        </w:rPr>
        <w:t>相关要素</w:t>
      </w:r>
      <w:r w:rsidRPr="00331088">
        <w:rPr>
          <w:rFonts w:ascii="方正黑体_GBK" w:eastAsia="方正黑体_GBK" w:hAnsi="方正黑体_GBK" w:cs="方正黑体_GBK" w:hint="eastAsia"/>
          <w:sz w:val="24"/>
        </w:rPr>
        <w:t>进行调整，具体如下：</w:t>
      </w:r>
    </w:p>
    <w:tbl>
      <w:tblPr>
        <w:tblStyle w:val="a8"/>
        <w:tblW w:w="10854" w:type="dxa"/>
        <w:jc w:val="center"/>
        <w:tblLayout w:type="fixed"/>
        <w:tblLook w:val="04A0" w:firstRow="1" w:lastRow="0" w:firstColumn="1" w:lastColumn="0" w:noHBand="0" w:noVBand="1"/>
      </w:tblPr>
      <w:tblGrid>
        <w:gridCol w:w="1054"/>
        <w:gridCol w:w="4285"/>
        <w:gridCol w:w="4305"/>
        <w:gridCol w:w="1210"/>
      </w:tblGrid>
      <w:tr w:rsidR="009B4E9A" w:rsidRPr="00331088">
        <w:trPr>
          <w:trHeight w:val="23"/>
          <w:jc w:val="center"/>
        </w:trPr>
        <w:tc>
          <w:tcPr>
            <w:tcW w:w="1054" w:type="dxa"/>
            <w:vAlign w:val="center"/>
          </w:tcPr>
          <w:p w:rsidR="009B4E9A" w:rsidRPr="00331088" w:rsidRDefault="00331088">
            <w:pPr>
              <w:jc w:val="center"/>
              <w:rPr>
                <w:rFonts w:ascii="方正黑体_GBK" w:eastAsia="方正黑体_GBK" w:hAnsi="方正黑体_GBK" w:cs="方正黑体_GBK" w:hint="eastAsia"/>
                <w:b/>
                <w:bCs/>
                <w:sz w:val="18"/>
                <w:szCs w:val="18"/>
              </w:rPr>
            </w:pPr>
            <w:r w:rsidRPr="00331088">
              <w:rPr>
                <w:rFonts w:ascii="方正黑体_GBK" w:eastAsia="方正黑体_GBK" w:hAnsi="方正黑体_GBK" w:cs="方正黑体_GBK" w:hint="eastAsia"/>
                <w:b/>
                <w:bCs/>
                <w:sz w:val="18"/>
                <w:szCs w:val="18"/>
              </w:rPr>
              <w:t>调整要素</w:t>
            </w:r>
          </w:p>
        </w:tc>
        <w:tc>
          <w:tcPr>
            <w:tcW w:w="4285" w:type="dxa"/>
            <w:vAlign w:val="center"/>
          </w:tcPr>
          <w:p w:rsidR="009B4E9A" w:rsidRPr="00331088" w:rsidRDefault="00331088">
            <w:pPr>
              <w:jc w:val="center"/>
              <w:rPr>
                <w:rFonts w:ascii="方正黑体_GBK" w:eastAsia="方正黑体_GBK" w:hAnsi="方正黑体_GBK" w:cs="方正黑体_GBK" w:hint="eastAsia"/>
                <w:b/>
                <w:bCs/>
                <w:sz w:val="18"/>
                <w:szCs w:val="18"/>
              </w:rPr>
            </w:pPr>
            <w:r w:rsidRPr="00331088">
              <w:rPr>
                <w:rFonts w:ascii="方正黑体_GBK" w:eastAsia="方正黑体_GBK" w:hAnsi="方正黑体_GBK" w:cs="方正黑体_GBK" w:hint="eastAsia"/>
                <w:b/>
                <w:bCs/>
                <w:sz w:val="18"/>
                <w:szCs w:val="18"/>
              </w:rPr>
              <w:t>调整前</w:t>
            </w:r>
          </w:p>
        </w:tc>
        <w:tc>
          <w:tcPr>
            <w:tcW w:w="4305" w:type="dxa"/>
            <w:vAlign w:val="center"/>
          </w:tcPr>
          <w:p w:rsidR="009B4E9A" w:rsidRPr="00331088" w:rsidRDefault="00331088">
            <w:pPr>
              <w:jc w:val="center"/>
              <w:rPr>
                <w:rFonts w:ascii="方正黑体_GBK" w:eastAsia="方正黑体_GBK" w:hAnsi="方正黑体_GBK" w:cs="方正黑体_GBK" w:hint="eastAsia"/>
                <w:b/>
                <w:bCs/>
                <w:sz w:val="18"/>
                <w:szCs w:val="18"/>
              </w:rPr>
            </w:pPr>
            <w:r w:rsidRPr="00331088">
              <w:rPr>
                <w:rFonts w:ascii="方正黑体_GBK" w:eastAsia="方正黑体_GBK" w:hAnsi="方正黑体_GBK" w:cs="方正黑体_GBK" w:hint="eastAsia"/>
                <w:b/>
                <w:bCs/>
                <w:sz w:val="18"/>
                <w:szCs w:val="18"/>
              </w:rPr>
              <w:t>调整后</w:t>
            </w:r>
          </w:p>
        </w:tc>
        <w:tc>
          <w:tcPr>
            <w:tcW w:w="1210" w:type="dxa"/>
            <w:vAlign w:val="center"/>
          </w:tcPr>
          <w:p w:rsidR="009B4E9A" w:rsidRPr="00331088" w:rsidRDefault="00331088">
            <w:pPr>
              <w:jc w:val="center"/>
              <w:rPr>
                <w:rFonts w:ascii="方正黑体_GBK" w:eastAsia="方正黑体_GBK" w:hAnsi="方正黑体_GBK" w:cs="方正黑体_GBK" w:hint="eastAsia"/>
                <w:b/>
                <w:bCs/>
                <w:sz w:val="18"/>
                <w:szCs w:val="18"/>
              </w:rPr>
            </w:pPr>
            <w:r w:rsidRPr="00331088">
              <w:rPr>
                <w:rFonts w:ascii="方正黑体_GBK" w:eastAsia="方正黑体_GBK" w:hAnsi="方正黑体_GBK" w:cs="方正黑体_GBK" w:hint="eastAsia"/>
                <w:b/>
                <w:bCs/>
                <w:sz w:val="18"/>
                <w:szCs w:val="18"/>
              </w:rPr>
              <w:t>调整日期</w:t>
            </w:r>
          </w:p>
        </w:tc>
      </w:tr>
      <w:tr w:rsidR="009B4E9A" w:rsidRPr="00331088">
        <w:trPr>
          <w:trHeight w:val="23"/>
          <w:jc w:val="center"/>
        </w:trPr>
        <w:tc>
          <w:tcPr>
            <w:tcW w:w="1054" w:type="dxa"/>
            <w:vAlign w:val="center"/>
          </w:tcPr>
          <w:p w:rsidR="009B4E9A" w:rsidRPr="00331088" w:rsidRDefault="00331088">
            <w:pPr>
              <w:spacing w:line="390" w:lineRule="exact"/>
              <w:jc w:val="center"/>
              <w:rPr>
                <w:rFonts w:ascii="方正黑体_GBK" w:eastAsia="方正黑体_GBK" w:hAnsi="方正黑体_GBK" w:cs="方正黑体_GBK" w:hint="eastAsia"/>
                <w:sz w:val="18"/>
                <w:szCs w:val="18"/>
              </w:rPr>
            </w:pPr>
            <w:r w:rsidRPr="00331088">
              <w:rPr>
                <w:rFonts w:ascii="方正黑体_GBK" w:eastAsia="方正黑体_GBK" w:hAnsi="方正黑体_GBK" w:cs="方正黑体_GBK" w:hint="eastAsia"/>
                <w:sz w:val="18"/>
                <w:szCs w:val="18"/>
              </w:rPr>
              <w:t>业绩比较基准</w:t>
            </w:r>
          </w:p>
        </w:tc>
        <w:tc>
          <w:tcPr>
            <w:tcW w:w="4285" w:type="dxa"/>
            <w:vAlign w:val="center"/>
          </w:tcPr>
          <w:p w:rsidR="009B4E9A" w:rsidRPr="00331088" w:rsidRDefault="00331088">
            <w:pPr>
              <w:widowControl/>
              <w:spacing w:line="200" w:lineRule="exact"/>
              <w:ind w:firstLine="300"/>
              <w:jc w:val="center"/>
              <w:rPr>
                <w:rFonts w:ascii="方正黑体_GBK" w:eastAsia="方正黑体_GBK" w:hAnsi="方正黑体_GBK" w:cs="方正黑体_GBK" w:hint="eastAsia"/>
                <w:sz w:val="18"/>
                <w:szCs w:val="18"/>
              </w:rPr>
            </w:pPr>
            <w:proofErr w:type="gramStart"/>
            <w:r w:rsidRPr="00331088">
              <w:rPr>
                <w:rFonts w:ascii="方正黑体_GBK" w:eastAsia="方正黑体_GBK" w:hAnsi="方正黑体_GBK" w:cs="方正黑体_GBK" w:hint="eastAsia"/>
                <w:sz w:val="18"/>
                <w:szCs w:val="18"/>
              </w:rPr>
              <w:t>中债新综合</w:t>
            </w:r>
            <w:proofErr w:type="gramEnd"/>
            <w:r w:rsidRPr="00331088">
              <w:rPr>
                <w:rFonts w:ascii="方正黑体_GBK" w:eastAsia="方正黑体_GBK" w:hAnsi="方正黑体_GBK" w:cs="方正黑体_GBK" w:hint="eastAsia"/>
                <w:sz w:val="18"/>
                <w:szCs w:val="18"/>
              </w:rPr>
              <w:t>财富指数（</w:t>
            </w:r>
            <w:r w:rsidRPr="00331088">
              <w:rPr>
                <w:rFonts w:ascii="方正黑体_GBK" w:eastAsia="方正黑体_GBK" w:hAnsi="方正黑体_GBK" w:cs="方正黑体_GBK" w:hint="eastAsia"/>
                <w:sz w:val="18"/>
                <w:szCs w:val="18"/>
              </w:rPr>
              <w:t>1-3</w:t>
            </w:r>
            <w:r w:rsidRPr="00331088">
              <w:rPr>
                <w:rFonts w:ascii="方正黑体_GBK" w:eastAsia="方正黑体_GBK" w:hAnsi="方正黑体_GBK" w:cs="方正黑体_GBK" w:hint="eastAsia"/>
                <w:sz w:val="18"/>
                <w:szCs w:val="18"/>
              </w:rPr>
              <w:t>年）收益率</w:t>
            </w:r>
          </w:p>
        </w:tc>
        <w:tc>
          <w:tcPr>
            <w:tcW w:w="4305" w:type="dxa"/>
            <w:vAlign w:val="center"/>
          </w:tcPr>
          <w:p w:rsidR="009B4E9A" w:rsidRPr="00331088" w:rsidRDefault="00331088">
            <w:pPr>
              <w:widowControl/>
              <w:spacing w:line="200" w:lineRule="exact"/>
              <w:ind w:firstLine="300"/>
              <w:jc w:val="center"/>
              <w:rPr>
                <w:rFonts w:ascii="方正黑体_GBK" w:eastAsia="方正黑体_GBK" w:hAnsi="方正黑体_GBK" w:cs="方正黑体_GBK" w:hint="eastAsia"/>
                <w:sz w:val="18"/>
                <w:szCs w:val="18"/>
              </w:rPr>
            </w:pPr>
            <w:proofErr w:type="gramStart"/>
            <w:r w:rsidRPr="00331088">
              <w:rPr>
                <w:rFonts w:ascii="方正黑体_GBK" w:eastAsia="方正黑体_GBK" w:hAnsi="方正黑体_GBK" w:cs="方正黑体_GBK" w:hint="eastAsia"/>
                <w:sz w:val="18"/>
                <w:szCs w:val="18"/>
              </w:rPr>
              <w:t>中债新综合</w:t>
            </w:r>
            <w:proofErr w:type="gramEnd"/>
            <w:r w:rsidRPr="00331088">
              <w:rPr>
                <w:rFonts w:ascii="方正黑体_GBK" w:eastAsia="方正黑体_GBK" w:hAnsi="方正黑体_GBK" w:cs="方正黑体_GBK" w:hint="eastAsia"/>
                <w:sz w:val="18"/>
                <w:szCs w:val="18"/>
              </w:rPr>
              <w:t>全价</w:t>
            </w:r>
            <w:r w:rsidRPr="00331088">
              <w:rPr>
                <w:rFonts w:ascii="方正黑体_GBK" w:eastAsia="方正黑体_GBK" w:hAnsi="方正黑体_GBK" w:cs="方正黑体_GBK" w:hint="eastAsia"/>
                <w:sz w:val="18"/>
                <w:szCs w:val="18"/>
              </w:rPr>
              <w:t>(1-3</w:t>
            </w:r>
            <w:r w:rsidRPr="00331088">
              <w:rPr>
                <w:rFonts w:ascii="方正黑体_GBK" w:eastAsia="方正黑体_GBK" w:hAnsi="方正黑体_GBK" w:cs="方正黑体_GBK" w:hint="eastAsia"/>
                <w:sz w:val="18"/>
                <w:szCs w:val="18"/>
              </w:rPr>
              <w:t>年</w:t>
            </w:r>
            <w:r w:rsidRPr="00331088">
              <w:rPr>
                <w:rFonts w:ascii="方正黑体_GBK" w:eastAsia="方正黑体_GBK" w:hAnsi="方正黑体_GBK" w:cs="方正黑体_GBK" w:hint="eastAsia"/>
                <w:sz w:val="18"/>
                <w:szCs w:val="18"/>
              </w:rPr>
              <w:t>)</w:t>
            </w:r>
            <w:r w:rsidRPr="00331088">
              <w:rPr>
                <w:rFonts w:ascii="方正黑体_GBK" w:eastAsia="方正黑体_GBK" w:hAnsi="方正黑体_GBK" w:cs="方正黑体_GBK" w:hint="eastAsia"/>
                <w:sz w:val="18"/>
                <w:szCs w:val="18"/>
              </w:rPr>
              <w:t>指数收益率</w:t>
            </w:r>
          </w:p>
        </w:tc>
        <w:tc>
          <w:tcPr>
            <w:tcW w:w="1210" w:type="dxa"/>
            <w:vAlign w:val="center"/>
          </w:tcPr>
          <w:p w:rsidR="009B4E9A" w:rsidRPr="00331088" w:rsidRDefault="00331088">
            <w:pPr>
              <w:widowControl/>
              <w:spacing w:line="200" w:lineRule="exact"/>
              <w:jc w:val="center"/>
              <w:rPr>
                <w:rFonts w:ascii="方正黑体_GBK" w:eastAsia="方正黑体_GBK" w:hAnsi="方正黑体_GBK" w:cs="方正黑体_GBK" w:hint="eastAsia"/>
                <w:sz w:val="18"/>
                <w:szCs w:val="18"/>
              </w:rPr>
            </w:pPr>
            <w:r w:rsidRPr="00331088">
              <w:rPr>
                <w:rFonts w:ascii="方正黑体_GBK" w:eastAsia="方正黑体_GBK" w:hAnsi="方正黑体_GBK" w:cs="方正黑体_GBK" w:hint="eastAsia"/>
                <w:sz w:val="18"/>
                <w:szCs w:val="18"/>
              </w:rPr>
              <w:t>2024</w:t>
            </w:r>
            <w:r w:rsidRPr="00331088">
              <w:rPr>
                <w:rFonts w:ascii="方正黑体_GBK" w:eastAsia="方正黑体_GBK" w:hAnsi="方正黑体_GBK" w:cs="方正黑体_GBK" w:hint="eastAsia"/>
                <w:sz w:val="18"/>
                <w:szCs w:val="18"/>
              </w:rPr>
              <w:t>年</w:t>
            </w:r>
            <w:r w:rsidRPr="00331088">
              <w:rPr>
                <w:rFonts w:ascii="方正黑体_GBK" w:eastAsia="方正黑体_GBK" w:hAnsi="方正黑体_GBK" w:cs="方正黑体_GBK" w:hint="eastAsia"/>
                <w:sz w:val="18"/>
                <w:szCs w:val="18"/>
              </w:rPr>
              <w:t>9</w:t>
            </w:r>
            <w:r w:rsidRPr="00331088">
              <w:rPr>
                <w:rFonts w:ascii="方正黑体_GBK" w:eastAsia="方正黑体_GBK" w:hAnsi="方正黑体_GBK" w:cs="方正黑体_GBK" w:hint="eastAsia"/>
                <w:sz w:val="18"/>
                <w:szCs w:val="18"/>
              </w:rPr>
              <w:t>月</w:t>
            </w:r>
            <w:r w:rsidRPr="00331088">
              <w:rPr>
                <w:rFonts w:ascii="方正黑体_GBK" w:eastAsia="方正黑体_GBK" w:hAnsi="方正黑体_GBK" w:cs="方正黑体_GBK" w:hint="eastAsia"/>
                <w:sz w:val="18"/>
                <w:szCs w:val="18"/>
              </w:rPr>
              <w:t>26</w:t>
            </w:r>
            <w:r w:rsidRPr="00331088">
              <w:rPr>
                <w:rFonts w:ascii="方正黑体_GBK" w:eastAsia="方正黑体_GBK" w:hAnsi="方正黑体_GBK" w:cs="方正黑体_GBK" w:hint="eastAsia"/>
                <w:sz w:val="18"/>
                <w:szCs w:val="18"/>
              </w:rPr>
              <w:t>日</w:t>
            </w:r>
          </w:p>
        </w:tc>
      </w:tr>
      <w:tr w:rsidR="009B4E9A" w:rsidRPr="00331088" w:rsidTr="00331088">
        <w:trPr>
          <w:trHeight w:val="559"/>
          <w:jc w:val="center"/>
        </w:trPr>
        <w:tc>
          <w:tcPr>
            <w:tcW w:w="1054" w:type="dxa"/>
            <w:vAlign w:val="center"/>
          </w:tcPr>
          <w:p w:rsidR="009B4E9A" w:rsidRPr="00331088" w:rsidRDefault="00331088" w:rsidP="00331088">
            <w:pPr>
              <w:spacing w:line="390" w:lineRule="exact"/>
              <w:jc w:val="center"/>
              <w:rPr>
                <w:rFonts w:ascii="方正黑体_GBK" w:eastAsia="方正黑体_GBK" w:hAnsi="方正黑体_GBK" w:cs="方正黑体_GBK" w:hint="eastAsia"/>
                <w:sz w:val="18"/>
                <w:szCs w:val="18"/>
              </w:rPr>
            </w:pPr>
            <w:r w:rsidRPr="00331088">
              <w:rPr>
                <w:rFonts w:ascii="方正黑体_GBK" w:eastAsia="方正黑体_GBK" w:hAnsi="方正黑体_GBK" w:cs="方正黑体_GBK" w:hint="eastAsia"/>
                <w:sz w:val="18"/>
                <w:szCs w:val="18"/>
              </w:rPr>
              <w:t>投资比例</w:t>
            </w:r>
          </w:p>
        </w:tc>
        <w:tc>
          <w:tcPr>
            <w:tcW w:w="4285" w:type="dxa"/>
            <w:vAlign w:val="center"/>
          </w:tcPr>
          <w:p w:rsidR="009B4E9A" w:rsidRPr="00331088" w:rsidRDefault="00331088">
            <w:pPr>
              <w:widowControl/>
              <w:spacing w:line="200" w:lineRule="exact"/>
              <w:jc w:val="left"/>
              <w:rPr>
                <w:rFonts w:ascii="方正黑体_GBK" w:eastAsia="方正黑体_GBK" w:hAnsi="方正黑体_GBK" w:cs="方正黑体_GBK" w:hint="eastAsia"/>
                <w:sz w:val="18"/>
                <w:szCs w:val="18"/>
              </w:rPr>
            </w:pPr>
            <w:r w:rsidRPr="00331088">
              <w:rPr>
                <w:rFonts w:ascii="方正黑体_GBK" w:eastAsia="方正黑体_GBK" w:hAnsi="方正黑体_GBK" w:cs="方正黑体_GBK" w:hint="eastAsia"/>
                <w:sz w:val="18"/>
                <w:szCs w:val="18"/>
              </w:rPr>
              <w:t>本理财产品投资于固定收益类资产的比例</w:t>
            </w:r>
            <w:r w:rsidRPr="00331088">
              <w:rPr>
                <w:rFonts w:ascii="方正黑体_GBK" w:eastAsia="方正黑体_GBK" w:hAnsi="方正黑体_GBK" w:cs="方正黑体_GBK" w:hint="eastAsia"/>
                <w:sz w:val="18"/>
                <w:szCs w:val="18"/>
              </w:rPr>
              <w:t>为</w:t>
            </w:r>
            <w:r w:rsidRPr="00331088">
              <w:rPr>
                <w:rFonts w:ascii="方正黑体_GBK" w:eastAsia="方正黑体_GBK" w:hAnsi="方正黑体_GBK" w:cs="方正黑体_GBK" w:hint="eastAsia"/>
                <w:sz w:val="18"/>
                <w:szCs w:val="18"/>
              </w:rPr>
              <w:t>10</w:t>
            </w:r>
            <w:r w:rsidRPr="00331088">
              <w:rPr>
                <w:rFonts w:ascii="方正黑体_GBK" w:eastAsia="方正黑体_GBK" w:hAnsi="方正黑体_GBK" w:cs="方正黑体_GBK" w:hint="eastAsia"/>
                <w:sz w:val="18"/>
                <w:szCs w:val="18"/>
              </w:rPr>
              <w:t>0%,</w:t>
            </w:r>
            <w:r w:rsidRPr="00331088">
              <w:rPr>
                <w:rFonts w:ascii="方正黑体_GBK" w:eastAsia="方正黑体_GBK" w:hAnsi="方正黑体_GBK" w:cs="方正黑体_GBK" w:hint="eastAsia"/>
                <w:sz w:val="18"/>
                <w:szCs w:val="18"/>
              </w:rPr>
              <w:t>投资于非标准化债权类资产的比例不高于</w:t>
            </w:r>
            <w:r w:rsidRPr="00331088">
              <w:rPr>
                <w:rFonts w:ascii="方正黑体_GBK" w:eastAsia="方正黑体_GBK" w:hAnsi="方正黑体_GBK" w:cs="方正黑体_GBK" w:hint="eastAsia"/>
                <w:sz w:val="18"/>
                <w:szCs w:val="18"/>
              </w:rPr>
              <w:t>50%</w:t>
            </w:r>
            <w:r w:rsidRPr="00331088">
              <w:rPr>
                <w:rFonts w:ascii="方正黑体_GBK" w:eastAsia="方正黑体_GBK" w:hAnsi="方正黑体_GBK" w:cs="方正黑体_GBK" w:hint="eastAsia"/>
                <w:sz w:val="18"/>
                <w:szCs w:val="18"/>
              </w:rPr>
              <w:t>。</w:t>
            </w:r>
          </w:p>
        </w:tc>
        <w:tc>
          <w:tcPr>
            <w:tcW w:w="4305" w:type="dxa"/>
            <w:vAlign w:val="center"/>
          </w:tcPr>
          <w:p w:rsidR="009B4E9A" w:rsidRPr="00331088" w:rsidRDefault="00331088">
            <w:pPr>
              <w:widowControl/>
              <w:spacing w:line="200" w:lineRule="exact"/>
              <w:jc w:val="left"/>
              <w:rPr>
                <w:rFonts w:ascii="方正黑体_GBK" w:eastAsia="方正黑体_GBK" w:hAnsi="方正黑体_GBK" w:cs="方正黑体_GBK" w:hint="eastAsia"/>
                <w:sz w:val="18"/>
                <w:szCs w:val="18"/>
              </w:rPr>
            </w:pPr>
            <w:r w:rsidRPr="00331088">
              <w:rPr>
                <w:rFonts w:ascii="方正黑体_GBK" w:eastAsia="方正黑体_GBK" w:hAnsi="方正黑体_GBK" w:cs="方正黑体_GBK" w:hint="eastAsia"/>
                <w:sz w:val="18"/>
                <w:szCs w:val="18"/>
              </w:rPr>
              <w:t>本理财产品投资于固定收益类资产的比例不低于</w:t>
            </w:r>
            <w:r w:rsidRPr="00331088">
              <w:rPr>
                <w:rFonts w:ascii="方正黑体_GBK" w:eastAsia="方正黑体_GBK" w:hAnsi="方正黑体_GBK" w:cs="方正黑体_GBK" w:hint="eastAsia"/>
                <w:sz w:val="18"/>
                <w:szCs w:val="18"/>
              </w:rPr>
              <w:t>80%,</w:t>
            </w:r>
            <w:r w:rsidRPr="00331088">
              <w:rPr>
                <w:rFonts w:ascii="方正黑体_GBK" w:eastAsia="方正黑体_GBK" w:hAnsi="方正黑体_GBK" w:cs="方正黑体_GBK" w:hint="eastAsia"/>
                <w:sz w:val="18"/>
                <w:szCs w:val="18"/>
              </w:rPr>
              <w:t>投资于非标准化债权类资产的比例不高于</w:t>
            </w:r>
            <w:r w:rsidRPr="00331088">
              <w:rPr>
                <w:rFonts w:ascii="方正黑体_GBK" w:eastAsia="方正黑体_GBK" w:hAnsi="方正黑体_GBK" w:cs="方正黑体_GBK" w:hint="eastAsia"/>
                <w:sz w:val="18"/>
                <w:szCs w:val="18"/>
              </w:rPr>
              <w:t>50%</w:t>
            </w:r>
            <w:r w:rsidRPr="00331088">
              <w:rPr>
                <w:rFonts w:ascii="方正黑体_GBK" w:eastAsia="方正黑体_GBK" w:hAnsi="方正黑体_GBK" w:cs="方正黑体_GBK" w:hint="eastAsia"/>
                <w:sz w:val="18"/>
                <w:szCs w:val="18"/>
              </w:rPr>
              <w:t>。</w:t>
            </w:r>
          </w:p>
        </w:tc>
        <w:tc>
          <w:tcPr>
            <w:tcW w:w="1210" w:type="dxa"/>
            <w:vAlign w:val="center"/>
          </w:tcPr>
          <w:p w:rsidR="009B4E9A" w:rsidRPr="00331088" w:rsidRDefault="00331088">
            <w:pPr>
              <w:widowControl/>
              <w:spacing w:line="200" w:lineRule="exact"/>
              <w:jc w:val="center"/>
              <w:rPr>
                <w:rFonts w:ascii="方正黑体_GBK" w:eastAsia="方正黑体_GBK" w:hAnsi="方正黑体_GBK" w:cs="方正黑体_GBK" w:hint="eastAsia"/>
                <w:sz w:val="18"/>
                <w:szCs w:val="18"/>
              </w:rPr>
            </w:pPr>
            <w:r w:rsidRPr="00331088">
              <w:rPr>
                <w:rFonts w:ascii="方正黑体_GBK" w:eastAsia="方正黑体_GBK" w:hAnsi="方正黑体_GBK" w:cs="方正黑体_GBK" w:hint="eastAsia"/>
                <w:sz w:val="18"/>
                <w:szCs w:val="18"/>
              </w:rPr>
              <w:t>2024</w:t>
            </w:r>
            <w:r w:rsidRPr="00331088">
              <w:rPr>
                <w:rFonts w:ascii="方正黑体_GBK" w:eastAsia="方正黑体_GBK" w:hAnsi="方正黑体_GBK" w:cs="方正黑体_GBK" w:hint="eastAsia"/>
                <w:sz w:val="18"/>
                <w:szCs w:val="18"/>
              </w:rPr>
              <w:t>年</w:t>
            </w:r>
            <w:r w:rsidRPr="00331088">
              <w:rPr>
                <w:rFonts w:ascii="方正黑体_GBK" w:eastAsia="方正黑体_GBK" w:hAnsi="方正黑体_GBK" w:cs="方正黑体_GBK" w:hint="eastAsia"/>
                <w:sz w:val="18"/>
                <w:szCs w:val="18"/>
              </w:rPr>
              <w:t>9</w:t>
            </w:r>
            <w:r w:rsidRPr="00331088">
              <w:rPr>
                <w:rFonts w:ascii="方正黑体_GBK" w:eastAsia="方正黑体_GBK" w:hAnsi="方正黑体_GBK" w:cs="方正黑体_GBK" w:hint="eastAsia"/>
                <w:sz w:val="18"/>
                <w:szCs w:val="18"/>
              </w:rPr>
              <w:t>月</w:t>
            </w:r>
            <w:r w:rsidRPr="00331088">
              <w:rPr>
                <w:rFonts w:ascii="方正黑体_GBK" w:eastAsia="方正黑体_GBK" w:hAnsi="方正黑体_GBK" w:cs="方正黑体_GBK" w:hint="eastAsia"/>
                <w:sz w:val="18"/>
                <w:szCs w:val="18"/>
              </w:rPr>
              <w:t>26</w:t>
            </w:r>
            <w:r w:rsidRPr="00331088">
              <w:rPr>
                <w:rFonts w:ascii="方正黑体_GBK" w:eastAsia="方正黑体_GBK" w:hAnsi="方正黑体_GBK" w:cs="方正黑体_GBK" w:hint="eastAsia"/>
                <w:sz w:val="18"/>
                <w:szCs w:val="18"/>
              </w:rPr>
              <w:t>日</w:t>
            </w:r>
          </w:p>
        </w:tc>
      </w:tr>
      <w:tr w:rsidR="009B4E9A" w:rsidRPr="00331088">
        <w:trPr>
          <w:trHeight w:val="23"/>
          <w:jc w:val="center"/>
        </w:trPr>
        <w:tc>
          <w:tcPr>
            <w:tcW w:w="1054" w:type="dxa"/>
            <w:vAlign w:val="center"/>
          </w:tcPr>
          <w:p w:rsidR="009B4E9A" w:rsidRPr="00331088" w:rsidRDefault="00331088">
            <w:pPr>
              <w:spacing w:line="390" w:lineRule="exact"/>
              <w:jc w:val="center"/>
              <w:rPr>
                <w:rFonts w:ascii="方正黑体_GBK" w:eastAsia="方正黑体_GBK" w:hAnsi="方正黑体_GBK" w:cs="方正黑体_GBK" w:hint="eastAsia"/>
                <w:color w:val="000000"/>
                <w:kern w:val="0"/>
                <w:sz w:val="18"/>
                <w:szCs w:val="18"/>
              </w:rPr>
            </w:pPr>
            <w:r w:rsidRPr="00331088">
              <w:rPr>
                <w:rFonts w:ascii="方正黑体_GBK" w:eastAsia="方正黑体_GBK" w:hAnsi="方正黑体_GBK" w:cs="方正黑体_GBK" w:hint="eastAsia"/>
                <w:color w:val="000000"/>
                <w:kern w:val="0"/>
                <w:sz w:val="18"/>
                <w:szCs w:val="18"/>
                <w:lang w:bidi="ar"/>
              </w:rPr>
              <w:t>业绩报酬计提基准</w:t>
            </w:r>
          </w:p>
        </w:tc>
        <w:tc>
          <w:tcPr>
            <w:tcW w:w="4285" w:type="dxa"/>
            <w:vAlign w:val="center"/>
          </w:tcPr>
          <w:p w:rsidR="009B4E9A" w:rsidRPr="00331088" w:rsidRDefault="00331088">
            <w:pPr>
              <w:widowControl/>
              <w:spacing w:line="200" w:lineRule="exact"/>
              <w:ind w:firstLine="300"/>
              <w:jc w:val="center"/>
              <w:rPr>
                <w:rFonts w:ascii="方正黑体_GBK" w:eastAsia="方正黑体_GBK" w:hAnsi="方正黑体_GBK" w:cs="方正黑体_GBK" w:hint="eastAsia"/>
                <w:sz w:val="18"/>
                <w:szCs w:val="18"/>
              </w:rPr>
            </w:pPr>
            <w:bookmarkStart w:id="0" w:name="_GoBack"/>
            <w:bookmarkEnd w:id="0"/>
            <w:r w:rsidRPr="00331088">
              <w:rPr>
                <w:rFonts w:ascii="方正黑体_GBK" w:eastAsia="方正黑体_GBK" w:hAnsi="方正黑体_GBK" w:cs="方正黑体_GBK" w:hint="eastAsia"/>
                <w:sz w:val="18"/>
                <w:szCs w:val="18"/>
              </w:rPr>
              <w:t>4%</w:t>
            </w:r>
          </w:p>
        </w:tc>
        <w:tc>
          <w:tcPr>
            <w:tcW w:w="4305" w:type="dxa"/>
            <w:vAlign w:val="center"/>
          </w:tcPr>
          <w:p w:rsidR="009B4E9A" w:rsidRPr="00331088" w:rsidRDefault="00331088">
            <w:pPr>
              <w:widowControl/>
              <w:spacing w:line="200" w:lineRule="exact"/>
              <w:ind w:firstLine="300"/>
              <w:jc w:val="center"/>
              <w:rPr>
                <w:rFonts w:ascii="方正黑体_GBK" w:eastAsia="方正黑体_GBK" w:hAnsi="方正黑体_GBK" w:cs="方正黑体_GBK" w:hint="eastAsia"/>
                <w:color w:val="000000"/>
                <w:kern w:val="0"/>
                <w:sz w:val="18"/>
                <w:szCs w:val="18"/>
              </w:rPr>
            </w:pPr>
            <w:r w:rsidRPr="00331088">
              <w:rPr>
                <w:rFonts w:ascii="方正黑体_GBK" w:eastAsia="方正黑体_GBK" w:hAnsi="方正黑体_GBK" w:cs="方正黑体_GBK" w:hint="eastAsia"/>
                <w:color w:val="000000"/>
                <w:kern w:val="0"/>
                <w:sz w:val="18"/>
                <w:szCs w:val="18"/>
              </w:rPr>
              <w:t>3.1%</w:t>
            </w:r>
          </w:p>
        </w:tc>
        <w:tc>
          <w:tcPr>
            <w:tcW w:w="1210" w:type="dxa"/>
            <w:vAlign w:val="center"/>
          </w:tcPr>
          <w:p w:rsidR="009B4E9A" w:rsidRPr="00331088" w:rsidRDefault="00331088">
            <w:pPr>
              <w:widowControl/>
              <w:spacing w:line="200" w:lineRule="exact"/>
              <w:jc w:val="center"/>
              <w:rPr>
                <w:rFonts w:ascii="方正黑体_GBK" w:eastAsia="方正黑体_GBK" w:hAnsi="方正黑体_GBK" w:cs="方正黑体_GBK" w:hint="eastAsia"/>
                <w:sz w:val="18"/>
                <w:szCs w:val="18"/>
              </w:rPr>
            </w:pPr>
            <w:r w:rsidRPr="00331088">
              <w:rPr>
                <w:rFonts w:ascii="方正黑体_GBK" w:eastAsia="方正黑体_GBK" w:hAnsi="方正黑体_GBK" w:cs="方正黑体_GBK" w:hint="eastAsia"/>
                <w:sz w:val="18"/>
                <w:szCs w:val="18"/>
              </w:rPr>
              <w:t>2024</w:t>
            </w:r>
            <w:r w:rsidRPr="00331088">
              <w:rPr>
                <w:rFonts w:ascii="方正黑体_GBK" w:eastAsia="方正黑体_GBK" w:hAnsi="方正黑体_GBK" w:cs="方正黑体_GBK" w:hint="eastAsia"/>
                <w:sz w:val="18"/>
                <w:szCs w:val="18"/>
              </w:rPr>
              <w:t>年</w:t>
            </w:r>
            <w:r w:rsidRPr="00331088">
              <w:rPr>
                <w:rFonts w:ascii="方正黑体_GBK" w:eastAsia="方正黑体_GBK" w:hAnsi="方正黑体_GBK" w:cs="方正黑体_GBK" w:hint="eastAsia"/>
                <w:sz w:val="18"/>
                <w:szCs w:val="18"/>
              </w:rPr>
              <w:t>9</w:t>
            </w:r>
            <w:r w:rsidRPr="00331088">
              <w:rPr>
                <w:rFonts w:ascii="方正黑体_GBK" w:eastAsia="方正黑体_GBK" w:hAnsi="方正黑体_GBK" w:cs="方正黑体_GBK" w:hint="eastAsia"/>
                <w:sz w:val="18"/>
                <w:szCs w:val="18"/>
              </w:rPr>
              <w:t>月</w:t>
            </w:r>
            <w:r w:rsidRPr="00331088">
              <w:rPr>
                <w:rFonts w:ascii="方正黑体_GBK" w:eastAsia="方正黑体_GBK" w:hAnsi="方正黑体_GBK" w:cs="方正黑体_GBK" w:hint="eastAsia"/>
                <w:sz w:val="18"/>
                <w:szCs w:val="18"/>
              </w:rPr>
              <w:t>26</w:t>
            </w:r>
            <w:r w:rsidRPr="00331088">
              <w:rPr>
                <w:rFonts w:ascii="方正黑体_GBK" w:eastAsia="方正黑体_GBK" w:hAnsi="方正黑体_GBK" w:cs="方正黑体_GBK" w:hint="eastAsia"/>
                <w:sz w:val="18"/>
                <w:szCs w:val="18"/>
              </w:rPr>
              <w:t>日</w:t>
            </w:r>
          </w:p>
        </w:tc>
      </w:tr>
      <w:tr w:rsidR="009B4E9A" w:rsidRPr="00331088">
        <w:trPr>
          <w:trHeight w:val="23"/>
          <w:jc w:val="center"/>
        </w:trPr>
        <w:tc>
          <w:tcPr>
            <w:tcW w:w="1054" w:type="dxa"/>
            <w:vAlign w:val="center"/>
          </w:tcPr>
          <w:p w:rsidR="009B4E9A" w:rsidRPr="00331088" w:rsidRDefault="00331088">
            <w:pPr>
              <w:spacing w:line="390" w:lineRule="exact"/>
              <w:jc w:val="center"/>
              <w:rPr>
                <w:rFonts w:ascii="方正黑体_GBK" w:eastAsia="方正黑体_GBK" w:hAnsi="方正黑体_GBK" w:cs="方正黑体_GBK" w:hint="eastAsia"/>
                <w:color w:val="000000"/>
                <w:kern w:val="0"/>
                <w:sz w:val="18"/>
                <w:szCs w:val="18"/>
              </w:rPr>
            </w:pPr>
            <w:r w:rsidRPr="00331088">
              <w:rPr>
                <w:rFonts w:ascii="方正黑体_GBK" w:eastAsia="方正黑体_GBK" w:hAnsi="方正黑体_GBK" w:cs="方正黑体_GBK" w:hint="eastAsia"/>
                <w:sz w:val="18"/>
                <w:szCs w:val="18"/>
              </w:rPr>
              <w:t>产品费用</w:t>
            </w:r>
          </w:p>
        </w:tc>
        <w:tc>
          <w:tcPr>
            <w:tcW w:w="4285" w:type="dxa"/>
            <w:vAlign w:val="center"/>
          </w:tcPr>
          <w:p w:rsidR="009B4E9A" w:rsidRPr="00331088" w:rsidRDefault="00331088">
            <w:pPr>
              <w:widowControl/>
              <w:spacing w:line="200" w:lineRule="exact"/>
              <w:jc w:val="left"/>
              <w:rPr>
                <w:rFonts w:ascii="方正黑体_GBK" w:eastAsia="方正黑体_GBK" w:hAnsi="方正黑体_GBK" w:cs="方正黑体_GBK" w:hint="eastAsia"/>
                <w:kern w:val="0"/>
                <w:sz w:val="18"/>
                <w:szCs w:val="18"/>
              </w:rPr>
            </w:pPr>
            <w:r w:rsidRPr="00331088">
              <w:rPr>
                <w:rFonts w:ascii="方正黑体_GBK" w:eastAsia="方正黑体_GBK" w:hAnsi="方正黑体_GBK" w:cs="方正黑体_GBK" w:hint="eastAsia"/>
                <w:kern w:val="0"/>
                <w:sz w:val="18"/>
                <w:szCs w:val="18"/>
              </w:rPr>
              <w:t>申购费：本理财产品不收取申购费。</w:t>
            </w:r>
          </w:p>
          <w:p w:rsidR="009B4E9A" w:rsidRPr="00331088" w:rsidRDefault="00331088">
            <w:pPr>
              <w:widowControl/>
              <w:spacing w:line="200" w:lineRule="exact"/>
              <w:jc w:val="left"/>
              <w:rPr>
                <w:rFonts w:ascii="方正黑体_GBK" w:eastAsia="方正黑体_GBK" w:hAnsi="方正黑体_GBK" w:cs="方正黑体_GBK" w:hint="eastAsia"/>
                <w:kern w:val="0"/>
                <w:sz w:val="18"/>
                <w:szCs w:val="18"/>
              </w:rPr>
            </w:pPr>
            <w:r w:rsidRPr="00331088">
              <w:rPr>
                <w:rFonts w:ascii="方正黑体_GBK" w:eastAsia="方正黑体_GBK" w:hAnsi="方正黑体_GBK" w:cs="方正黑体_GBK" w:hint="eastAsia"/>
                <w:kern w:val="0"/>
                <w:sz w:val="18"/>
                <w:szCs w:val="18"/>
              </w:rPr>
              <w:t>赎回费：本理财产品不收取赎回费。</w:t>
            </w:r>
          </w:p>
          <w:p w:rsidR="009B4E9A" w:rsidRPr="00331088" w:rsidRDefault="00331088">
            <w:pPr>
              <w:widowControl/>
              <w:spacing w:line="200" w:lineRule="exact"/>
              <w:jc w:val="left"/>
              <w:rPr>
                <w:rFonts w:ascii="方正黑体_GBK" w:eastAsia="方正黑体_GBK" w:hAnsi="方正黑体_GBK" w:cs="方正黑体_GBK" w:hint="eastAsia"/>
                <w:kern w:val="0"/>
                <w:sz w:val="18"/>
                <w:szCs w:val="18"/>
              </w:rPr>
            </w:pPr>
            <w:r w:rsidRPr="00331088">
              <w:rPr>
                <w:rFonts w:ascii="方正黑体_GBK" w:eastAsia="方正黑体_GBK" w:hAnsi="方正黑体_GBK" w:cs="方正黑体_GBK" w:hint="eastAsia"/>
                <w:kern w:val="0"/>
                <w:sz w:val="18"/>
                <w:szCs w:val="18"/>
              </w:rPr>
              <w:t>销售费：本理财产品按</w:t>
            </w:r>
            <w:r w:rsidRPr="00331088">
              <w:rPr>
                <w:rFonts w:ascii="方正黑体_GBK" w:eastAsia="方正黑体_GBK" w:hAnsi="方正黑体_GBK" w:cs="方正黑体_GBK" w:hint="eastAsia"/>
                <w:kern w:val="0"/>
                <w:sz w:val="18"/>
                <w:szCs w:val="18"/>
              </w:rPr>
              <w:t>当日理财产品份额</w:t>
            </w:r>
            <w:proofErr w:type="gramStart"/>
            <w:r w:rsidRPr="00331088">
              <w:rPr>
                <w:rFonts w:ascii="方正黑体_GBK" w:eastAsia="方正黑体_GBK" w:hAnsi="方正黑体_GBK" w:cs="方正黑体_GBK" w:hint="eastAsia"/>
                <w:kern w:val="0"/>
                <w:sz w:val="18"/>
                <w:szCs w:val="18"/>
              </w:rPr>
              <w:t>收取年化</w:t>
            </w:r>
            <w:proofErr w:type="gramEnd"/>
            <w:r w:rsidRPr="00331088">
              <w:rPr>
                <w:rFonts w:ascii="方正黑体_GBK" w:eastAsia="方正黑体_GBK" w:hAnsi="方正黑体_GBK" w:cs="方正黑体_GBK" w:hint="eastAsia"/>
                <w:kern w:val="0"/>
                <w:sz w:val="18"/>
                <w:szCs w:val="18"/>
              </w:rPr>
              <w:t>0.2</w:t>
            </w:r>
            <w:r w:rsidRPr="00331088">
              <w:rPr>
                <w:rFonts w:ascii="方正黑体_GBK" w:eastAsia="方正黑体_GBK" w:hAnsi="方正黑体_GBK" w:cs="方正黑体_GBK" w:hint="eastAsia"/>
                <w:kern w:val="0"/>
                <w:sz w:val="18"/>
                <w:szCs w:val="18"/>
              </w:rPr>
              <w:t>%</w:t>
            </w:r>
            <w:r w:rsidRPr="00331088">
              <w:rPr>
                <w:rFonts w:ascii="方正黑体_GBK" w:eastAsia="方正黑体_GBK" w:hAnsi="方正黑体_GBK" w:cs="方正黑体_GBK" w:hint="eastAsia"/>
                <w:kern w:val="0"/>
                <w:sz w:val="18"/>
                <w:szCs w:val="18"/>
              </w:rPr>
              <w:t>的销售费，按日计提。</w:t>
            </w:r>
          </w:p>
          <w:p w:rsidR="009B4E9A" w:rsidRPr="00331088" w:rsidRDefault="00331088">
            <w:pPr>
              <w:widowControl/>
              <w:spacing w:line="200" w:lineRule="exact"/>
              <w:jc w:val="left"/>
              <w:rPr>
                <w:rFonts w:ascii="方正黑体_GBK" w:eastAsia="方正黑体_GBK" w:hAnsi="方正黑体_GBK" w:cs="方正黑体_GBK" w:hint="eastAsia"/>
                <w:kern w:val="0"/>
                <w:sz w:val="18"/>
                <w:szCs w:val="18"/>
              </w:rPr>
            </w:pPr>
            <w:r w:rsidRPr="00331088">
              <w:rPr>
                <w:rFonts w:ascii="方正黑体_GBK" w:eastAsia="方正黑体_GBK" w:hAnsi="方正黑体_GBK" w:cs="方正黑体_GBK" w:hint="eastAsia"/>
                <w:kern w:val="0"/>
                <w:sz w:val="18"/>
                <w:szCs w:val="18"/>
              </w:rPr>
              <w:t>每日计提的销售费</w:t>
            </w:r>
            <w:r w:rsidRPr="00331088">
              <w:rPr>
                <w:rFonts w:ascii="方正黑体_GBK" w:eastAsia="方正黑体_GBK" w:hAnsi="方正黑体_GBK" w:cs="方正黑体_GBK" w:hint="eastAsia"/>
                <w:kern w:val="0"/>
                <w:sz w:val="18"/>
                <w:szCs w:val="18"/>
              </w:rPr>
              <w:t>=</w:t>
            </w:r>
            <w:r w:rsidRPr="00331088">
              <w:rPr>
                <w:rFonts w:ascii="方正黑体_GBK" w:eastAsia="方正黑体_GBK" w:hAnsi="方正黑体_GBK" w:cs="方正黑体_GBK" w:hint="eastAsia"/>
                <w:kern w:val="0"/>
                <w:sz w:val="18"/>
                <w:szCs w:val="18"/>
              </w:rPr>
              <w:t>当日理财产品份额</w:t>
            </w:r>
            <w:r w:rsidRPr="00331088">
              <w:rPr>
                <w:rFonts w:ascii="方正黑体_GBK" w:eastAsia="方正黑体_GBK" w:hAnsi="方正黑体_GBK" w:cs="方正黑体_GBK" w:hint="eastAsia"/>
                <w:kern w:val="0"/>
                <w:sz w:val="18"/>
                <w:szCs w:val="18"/>
              </w:rPr>
              <w:t>×</w:t>
            </w:r>
            <w:proofErr w:type="gramStart"/>
            <w:r w:rsidRPr="00331088">
              <w:rPr>
                <w:rFonts w:ascii="方正黑体_GBK" w:eastAsia="方正黑体_GBK" w:hAnsi="方正黑体_GBK" w:cs="方正黑体_GBK" w:hint="eastAsia"/>
                <w:kern w:val="0"/>
                <w:sz w:val="18"/>
                <w:szCs w:val="18"/>
              </w:rPr>
              <w:t>年化销售</w:t>
            </w:r>
            <w:proofErr w:type="gramEnd"/>
            <w:r w:rsidRPr="00331088">
              <w:rPr>
                <w:rFonts w:ascii="方正黑体_GBK" w:eastAsia="方正黑体_GBK" w:hAnsi="方正黑体_GBK" w:cs="方正黑体_GBK" w:hint="eastAsia"/>
                <w:kern w:val="0"/>
                <w:sz w:val="18"/>
                <w:szCs w:val="18"/>
              </w:rPr>
              <w:t>费率÷</w:t>
            </w:r>
            <w:r w:rsidRPr="00331088">
              <w:rPr>
                <w:rFonts w:ascii="方正黑体_GBK" w:eastAsia="方正黑体_GBK" w:hAnsi="方正黑体_GBK" w:cs="方正黑体_GBK" w:hint="eastAsia"/>
                <w:kern w:val="0"/>
                <w:sz w:val="18"/>
                <w:szCs w:val="18"/>
              </w:rPr>
              <w:t>365</w:t>
            </w:r>
          </w:p>
          <w:p w:rsidR="009B4E9A" w:rsidRPr="00331088" w:rsidRDefault="00331088">
            <w:pPr>
              <w:widowControl/>
              <w:spacing w:line="200" w:lineRule="exact"/>
              <w:jc w:val="left"/>
              <w:rPr>
                <w:rFonts w:ascii="方正黑体_GBK" w:eastAsia="方正黑体_GBK" w:hAnsi="方正黑体_GBK" w:cs="方正黑体_GBK" w:hint="eastAsia"/>
                <w:kern w:val="0"/>
                <w:sz w:val="18"/>
                <w:szCs w:val="18"/>
              </w:rPr>
            </w:pPr>
            <w:r w:rsidRPr="00331088">
              <w:rPr>
                <w:rFonts w:ascii="方正黑体_GBK" w:eastAsia="方正黑体_GBK" w:hAnsi="方正黑体_GBK" w:cs="方正黑体_GBK" w:hint="eastAsia"/>
                <w:kern w:val="0"/>
                <w:sz w:val="18"/>
                <w:szCs w:val="18"/>
              </w:rPr>
              <w:t>固定</w:t>
            </w:r>
            <w:r w:rsidRPr="00331088">
              <w:rPr>
                <w:rFonts w:ascii="方正黑体_GBK" w:eastAsia="方正黑体_GBK" w:hAnsi="方正黑体_GBK" w:cs="方正黑体_GBK" w:hint="eastAsia"/>
                <w:kern w:val="0"/>
                <w:sz w:val="18"/>
                <w:szCs w:val="18"/>
              </w:rPr>
              <w:t>管理费：本理财产品按</w:t>
            </w:r>
            <w:r w:rsidRPr="00331088">
              <w:rPr>
                <w:rFonts w:ascii="方正黑体_GBK" w:eastAsia="方正黑体_GBK" w:hAnsi="方正黑体_GBK" w:cs="方正黑体_GBK" w:hint="eastAsia"/>
                <w:kern w:val="0"/>
                <w:sz w:val="18"/>
                <w:szCs w:val="18"/>
              </w:rPr>
              <w:t>当日理财产品份额</w:t>
            </w:r>
            <w:proofErr w:type="gramStart"/>
            <w:r w:rsidRPr="00331088">
              <w:rPr>
                <w:rFonts w:ascii="方正黑体_GBK" w:eastAsia="方正黑体_GBK" w:hAnsi="方正黑体_GBK" w:cs="方正黑体_GBK" w:hint="eastAsia"/>
                <w:kern w:val="0"/>
                <w:sz w:val="18"/>
                <w:szCs w:val="18"/>
              </w:rPr>
              <w:t>收取年化</w:t>
            </w:r>
            <w:proofErr w:type="gramEnd"/>
            <w:r w:rsidRPr="00331088">
              <w:rPr>
                <w:rFonts w:ascii="方正黑体_GBK" w:eastAsia="方正黑体_GBK" w:hAnsi="方正黑体_GBK" w:cs="方正黑体_GBK" w:hint="eastAsia"/>
                <w:kern w:val="0"/>
                <w:sz w:val="18"/>
                <w:szCs w:val="18"/>
              </w:rPr>
              <w:t>0.3</w:t>
            </w:r>
            <w:r w:rsidRPr="00331088">
              <w:rPr>
                <w:rFonts w:ascii="方正黑体_GBK" w:eastAsia="方正黑体_GBK" w:hAnsi="方正黑体_GBK" w:cs="方正黑体_GBK" w:hint="eastAsia"/>
                <w:kern w:val="0"/>
                <w:sz w:val="18"/>
                <w:szCs w:val="18"/>
              </w:rPr>
              <w:t>%</w:t>
            </w:r>
            <w:r w:rsidRPr="00331088">
              <w:rPr>
                <w:rFonts w:ascii="方正黑体_GBK" w:eastAsia="方正黑体_GBK" w:hAnsi="方正黑体_GBK" w:cs="方正黑体_GBK" w:hint="eastAsia"/>
                <w:kern w:val="0"/>
                <w:sz w:val="18"/>
                <w:szCs w:val="18"/>
              </w:rPr>
              <w:t>的固定管理费，按日计提。</w:t>
            </w:r>
          </w:p>
          <w:p w:rsidR="009B4E9A" w:rsidRPr="00331088" w:rsidRDefault="00331088">
            <w:pPr>
              <w:widowControl/>
              <w:spacing w:line="200" w:lineRule="exact"/>
              <w:jc w:val="left"/>
              <w:rPr>
                <w:rFonts w:ascii="方正黑体_GBK" w:eastAsia="方正黑体_GBK" w:hAnsi="方正黑体_GBK" w:cs="方正黑体_GBK" w:hint="eastAsia"/>
                <w:kern w:val="0"/>
                <w:sz w:val="18"/>
                <w:szCs w:val="18"/>
              </w:rPr>
            </w:pPr>
            <w:r w:rsidRPr="00331088">
              <w:rPr>
                <w:rFonts w:ascii="方正黑体_GBK" w:eastAsia="方正黑体_GBK" w:hAnsi="方正黑体_GBK" w:cs="方正黑体_GBK" w:hint="eastAsia"/>
                <w:kern w:val="0"/>
                <w:sz w:val="18"/>
                <w:szCs w:val="18"/>
              </w:rPr>
              <w:t>每日计提的固定管理费</w:t>
            </w:r>
            <w:r w:rsidRPr="00331088">
              <w:rPr>
                <w:rFonts w:ascii="方正黑体_GBK" w:eastAsia="方正黑体_GBK" w:hAnsi="方正黑体_GBK" w:cs="方正黑体_GBK" w:hint="eastAsia"/>
                <w:kern w:val="0"/>
                <w:sz w:val="18"/>
                <w:szCs w:val="18"/>
              </w:rPr>
              <w:t>=</w:t>
            </w:r>
            <w:r w:rsidRPr="00331088">
              <w:rPr>
                <w:rFonts w:ascii="方正黑体_GBK" w:eastAsia="方正黑体_GBK" w:hAnsi="方正黑体_GBK" w:cs="方正黑体_GBK" w:hint="eastAsia"/>
                <w:kern w:val="0"/>
                <w:sz w:val="18"/>
                <w:szCs w:val="18"/>
              </w:rPr>
              <w:t>当日理财产品份额</w:t>
            </w:r>
            <w:r w:rsidRPr="00331088">
              <w:rPr>
                <w:rFonts w:ascii="方正黑体_GBK" w:eastAsia="方正黑体_GBK" w:hAnsi="方正黑体_GBK" w:cs="方正黑体_GBK" w:hint="eastAsia"/>
                <w:kern w:val="0"/>
                <w:sz w:val="18"/>
                <w:szCs w:val="18"/>
              </w:rPr>
              <w:t>×</w:t>
            </w:r>
            <w:proofErr w:type="gramStart"/>
            <w:r w:rsidRPr="00331088">
              <w:rPr>
                <w:rFonts w:ascii="方正黑体_GBK" w:eastAsia="方正黑体_GBK" w:hAnsi="方正黑体_GBK" w:cs="方正黑体_GBK" w:hint="eastAsia"/>
                <w:kern w:val="0"/>
                <w:sz w:val="18"/>
                <w:szCs w:val="18"/>
              </w:rPr>
              <w:t>年化固定</w:t>
            </w:r>
            <w:proofErr w:type="gramEnd"/>
            <w:r w:rsidRPr="00331088">
              <w:rPr>
                <w:rFonts w:ascii="方正黑体_GBK" w:eastAsia="方正黑体_GBK" w:hAnsi="方正黑体_GBK" w:cs="方正黑体_GBK" w:hint="eastAsia"/>
                <w:kern w:val="0"/>
                <w:sz w:val="18"/>
                <w:szCs w:val="18"/>
              </w:rPr>
              <w:t>管理费率÷</w:t>
            </w:r>
            <w:r w:rsidRPr="00331088">
              <w:rPr>
                <w:rFonts w:ascii="方正黑体_GBK" w:eastAsia="方正黑体_GBK" w:hAnsi="方正黑体_GBK" w:cs="方正黑体_GBK" w:hint="eastAsia"/>
                <w:kern w:val="0"/>
                <w:sz w:val="18"/>
                <w:szCs w:val="18"/>
              </w:rPr>
              <w:t>365</w:t>
            </w:r>
          </w:p>
          <w:p w:rsidR="009B4E9A" w:rsidRPr="00331088" w:rsidRDefault="00331088">
            <w:pPr>
              <w:widowControl/>
              <w:spacing w:line="200" w:lineRule="exact"/>
              <w:jc w:val="left"/>
              <w:rPr>
                <w:rFonts w:ascii="方正黑体_GBK" w:eastAsia="方正黑体_GBK" w:hAnsi="方正黑体_GBK" w:cs="方正黑体_GBK" w:hint="eastAsia"/>
                <w:kern w:val="0"/>
                <w:sz w:val="18"/>
                <w:szCs w:val="18"/>
              </w:rPr>
            </w:pPr>
            <w:r w:rsidRPr="00331088">
              <w:rPr>
                <w:rFonts w:ascii="方正黑体_GBK" w:eastAsia="方正黑体_GBK" w:hAnsi="方正黑体_GBK" w:cs="方正黑体_GBK" w:hint="eastAsia"/>
                <w:kern w:val="0"/>
                <w:sz w:val="18"/>
                <w:szCs w:val="18"/>
              </w:rPr>
              <w:t>托管费：本理财产品按</w:t>
            </w:r>
            <w:r w:rsidRPr="00331088">
              <w:rPr>
                <w:rFonts w:ascii="方正黑体_GBK" w:eastAsia="方正黑体_GBK" w:hAnsi="方正黑体_GBK" w:cs="方正黑体_GBK" w:hint="eastAsia"/>
                <w:kern w:val="0"/>
                <w:sz w:val="18"/>
                <w:szCs w:val="18"/>
              </w:rPr>
              <w:t>当日理财产品份额</w:t>
            </w:r>
            <w:proofErr w:type="gramStart"/>
            <w:r w:rsidRPr="00331088">
              <w:rPr>
                <w:rFonts w:ascii="方正黑体_GBK" w:eastAsia="方正黑体_GBK" w:hAnsi="方正黑体_GBK" w:cs="方正黑体_GBK" w:hint="eastAsia"/>
                <w:kern w:val="0"/>
                <w:sz w:val="18"/>
                <w:szCs w:val="18"/>
              </w:rPr>
              <w:t>收取年化</w:t>
            </w:r>
            <w:proofErr w:type="gramEnd"/>
            <w:r w:rsidRPr="00331088">
              <w:rPr>
                <w:rFonts w:ascii="方正黑体_GBK" w:eastAsia="方正黑体_GBK" w:hAnsi="方正黑体_GBK" w:cs="方正黑体_GBK" w:hint="eastAsia"/>
                <w:kern w:val="0"/>
                <w:sz w:val="18"/>
                <w:szCs w:val="18"/>
              </w:rPr>
              <w:t>0.02</w:t>
            </w:r>
            <w:r w:rsidRPr="00331088">
              <w:rPr>
                <w:rFonts w:ascii="方正黑体_GBK" w:eastAsia="方正黑体_GBK" w:hAnsi="方正黑体_GBK" w:cs="方正黑体_GBK" w:hint="eastAsia"/>
                <w:kern w:val="0"/>
                <w:sz w:val="18"/>
                <w:szCs w:val="18"/>
              </w:rPr>
              <w:t>%</w:t>
            </w:r>
            <w:r w:rsidRPr="00331088">
              <w:rPr>
                <w:rFonts w:ascii="方正黑体_GBK" w:eastAsia="方正黑体_GBK" w:hAnsi="方正黑体_GBK" w:cs="方正黑体_GBK" w:hint="eastAsia"/>
                <w:kern w:val="0"/>
                <w:sz w:val="18"/>
                <w:szCs w:val="18"/>
              </w:rPr>
              <w:t>的托管费，按日计提。</w:t>
            </w:r>
          </w:p>
          <w:p w:rsidR="009B4E9A" w:rsidRPr="00331088" w:rsidRDefault="00331088">
            <w:pPr>
              <w:widowControl/>
              <w:spacing w:line="200" w:lineRule="exact"/>
              <w:jc w:val="left"/>
              <w:rPr>
                <w:rFonts w:ascii="方正黑体_GBK" w:eastAsia="方正黑体_GBK" w:hAnsi="方正黑体_GBK" w:cs="方正黑体_GBK" w:hint="eastAsia"/>
                <w:sz w:val="18"/>
                <w:szCs w:val="18"/>
              </w:rPr>
            </w:pPr>
            <w:r w:rsidRPr="00331088">
              <w:rPr>
                <w:rFonts w:ascii="方正黑体_GBK" w:eastAsia="方正黑体_GBK" w:hAnsi="方正黑体_GBK" w:cs="方正黑体_GBK" w:hint="eastAsia"/>
                <w:kern w:val="0"/>
                <w:sz w:val="18"/>
                <w:szCs w:val="18"/>
              </w:rPr>
              <w:t>每日计提的托管费</w:t>
            </w:r>
            <w:r w:rsidRPr="00331088">
              <w:rPr>
                <w:rFonts w:ascii="方正黑体_GBK" w:eastAsia="方正黑体_GBK" w:hAnsi="方正黑体_GBK" w:cs="方正黑体_GBK" w:hint="eastAsia"/>
                <w:kern w:val="0"/>
                <w:sz w:val="18"/>
                <w:szCs w:val="18"/>
              </w:rPr>
              <w:t>=</w:t>
            </w:r>
            <w:r w:rsidRPr="00331088">
              <w:rPr>
                <w:rFonts w:ascii="方正黑体_GBK" w:eastAsia="方正黑体_GBK" w:hAnsi="方正黑体_GBK" w:cs="方正黑体_GBK" w:hint="eastAsia"/>
                <w:kern w:val="0"/>
                <w:sz w:val="18"/>
                <w:szCs w:val="18"/>
              </w:rPr>
              <w:t>当日理财产品份额</w:t>
            </w:r>
            <w:r w:rsidRPr="00331088">
              <w:rPr>
                <w:rFonts w:ascii="方正黑体_GBK" w:eastAsia="方正黑体_GBK" w:hAnsi="方正黑体_GBK" w:cs="方正黑体_GBK" w:hint="eastAsia"/>
                <w:kern w:val="0"/>
                <w:sz w:val="18"/>
                <w:szCs w:val="18"/>
              </w:rPr>
              <w:t>×</w:t>
            </w:r>
            <w:proofErr w:type="gramStart"/>
            <w:r w:rsidRPr="00331088">
              <w:rPr>
                <w:rFonts w:ascii="方正黑体_GBK" w:eastAsia="方正黑体_GBK" w:hAnsi="方正黑体_GBK" w:cs="方正黑体_GBK" w:hint="eastAsia"/>
                <w:kern w:val="0"/>
                <w:sz w:val="18"/>
                <w:szCs w:val="18"/>
              </w:rPr>
              <w:t>年化托管</w:t>
            </w:r>
            <w:proofErr w:type="gramEnd"/>
            <w:r w:rsidRPr="00331088">
              <w:rPr>
                <w:rFonts w:ascii="方正黑体_GBK" w:eastAsia="方正黑体_GBK" w:hAnsi="方正黑体_GBK" w:cs="方正黑体_GBK" w:hint="eastAsia"/>
                <w:kern w:val="0"/>
                <w:sz w:val="18"/>
                <w:szCs w:val="18"/>
              </w:rPr>
              <w:t>费率÷</w:t>
            </w:r>
            <w:r w:rsidRPr="00331088">
              <w:rPr>
                <w:rFonts w:ascii="方正黑体_GBK" w:eastAsia="方正黑体_GBK" w:hAnsi="方正黑体_GBK" w:cs="方正黑体_GBK" w:hint="eastAsia"/>
                <w:kern w:val="0"/>
                <w:sz w:val="18"/>
                <w:szCs w:val="18"/>
              </w:rPr>
              <w:t>365</w:t>
            </w:r>
          </w:p>
          <w:p w:rsidR="009B4E9A" w:rsidRPr="00331088" w:rsidRDefault="00331088">
            <w:pPr>
              <w:widowControl/>
              <w:spacing w:line="200" w:lineRule="exact"/>
              <w:jc w:val="left"/>
              <w:rPr>
                <w:rFonts w:ascii="方正黑体_GBK" w:eastAsia="方正黑体_GBK" w:hAnsi="方正黑体_GBK" w:cs="方正黑体_GBK" w:hint="eastAsia"/>
                <w:kern w:val="0"/>
                <w:sz w:val="18"/>
                <w:szCs w:val="18"/>
              </w:rPr>
            </w:pPr>
            <w:r w:rsidRPr="00331088">
              <w:rPr>
                <w:rFonts w:ascii="方正黑体_GBK" w:eastAsia="方正黑体_GBK" w:hAnsi="方正黑体_GBK" w:cs="方正黑体_GBK" w:hint="eastAsia"/>
                <w:kern w:val="0"/>
                <w:sz w:val="18"/>
                <w:szCs w:val="18"/>
              </w:rPr>
              <w:t>业绩报酬：申购</w:t>
            </w:r>
            <w:r w:rsidRPr="00331088">
              <w:rPr>
                <w:rFonts w:ascii="方正黑体_GBK" w:eastAsia="方正黑体_GBK" w:hAnsi="方正黑体_GBK" w:cs="方正黑体_GBK" w:hint="eastAsia"/>
                <w:kern w:val="0"/>
                <w:sz w:val="18"/>
                <w:szCs w:val="18"/>
              </w:rPr>
              <w:t>/</w:t>
            </w:r>
            <w:r w:rsidRPr="00331088">
              <w:rPr>
                <w:rFonts w:ascii="方正黑体_GBK" w:eastAsia="方正黑体_GBK" w:hAnsi="方正黑体_GBK" w:cs="方正黑体_GBK" w:hint="eastAsia"/>
                <w:kern w:val="0"/>
                <w:sz w:val="18"/>
                <w:szCs w:val="18"/>
              </w:rPr>
              <w:t>赎回确认日和产品实际到期时，如当期产品投资的实际资产组合收益（扣除销售费、固定管理费、托管费等相关费用）超过</w:t>
            </w:r>
            <w:r w:rsidRPr="00331088">
              <w:rPr>
                <w:rFonts w:ascii="方正黑体_GBK" w:eastAsia="方正黑体_GBK" w:hAnsi="方正黑体_GBK" w:cs="方正黑体_GBK" w:hint="eastAsia"/>
                <w:kern w:val="0"/>
                <w:sz w:val="18"/>
                <w:szCs w:val="18"/>
              </w:rPr>
              <w:t>4%</w:t>
            </w:r>
            <w:r w:rsidRPr="00331088">
              <w:rPr>
                <w:rFonts w:ascii="方正黑体_GBK" w:eastAsia="方正黑体_GBK" w:hAnsi="方正黑体_GBK" w:cs="方正黑体_GBK" w:hint="eastAsia"/>
                <w:kern w:val="0"/>
                <w:sz w:val="18"/>
                <w:szCs w:val="18"/>
              </w:rPr>
              <w:t>（年化，即产品该份额对应的业绩报酬计提基准）时，超过部分管理人将按</w:t>
            </w:r>
            <w:r w:rsidRPr="00331088">
              <w:rPr>
                <w:rFonts w:ascii="方正黑体_GBK" w:eastAsia="方正黑体_GBK" w:hAnsi="方正黑体_GBK" w:cs="方正黑体_GBK" w:hint="eastAsia"/>
                <w:kern w:val="0"/>
                <w:sz w:val="18"/>
                <w:szCs w:val="18"/>
              </w:rPr>
              <w:t>20%</w:t>
            </w:r>
            <w:r w:rsidRPr="00331088">
              <w:rPr>
                <w:rFonts w:ascii="方正黑体_GBK" w:eastAsia="方正黑体_GBK" w:hAnsi="方正黑体_GBK" w:cs="方正黑体_GBK" w:hint="eastAsia"/>
                <w:kern w:val="0"/>
                <w:sz w:val="18"/>
                <w:szCs w:val="18"/>
              </w:rPr>
              <w:t>收取业绩报酬。</w:t>
            </w:r>
          </w:p>
          <w:p w:rsidR="009B4E9A" w:rsidRPr="00331088" w:rsidRDefault="00331088">
            <w:pPr>
              <w:widowControl/>
              <w:spacing w:line="200" w:lineRule="exact"/>
              <w:jc w:val="left"/>
              <w:rPr>
                <w:rFonts w:ascii="方正黑体_GBK" w:eastAsia="方正黑体_GBK" w:hAnsi="方正黑体_GBK" w:cs="方正黑体_GBK" w:hint="eastAsia"/>
                <w:kern w:val="0"/>
                <w:sz w:val="18"/>
                <w:szCs w:val="18"/>
              </w:rPr>
            </w:pPr>
            <w:r w:rsidRPr="00331088">
              <w:rPr>
                <w:rFonts w:ascii="方正黑体_GBK" w:eastAsia="方正黑体_GBK" w:hAnsi="方正黑体_GBK" w:cs="方正黑体_GBK" w:hint="eastAsia"/>
                <w:kern w:val="0"/>
                <w:sz w:val="18"/>
                <w:szCs w:val="18"/>
              </w:rPr>
              <w:t>产品存续期内理财产品每个估值日将</w:t>
            </w:r>
            <w:proofErr w:type="gramStart"/>
            <w:r w:rsidRPr="00331088">
              <w:rPr>
                <w:rFonts w:ascii="方正黑体_GBK" w:eastAsia="方正黑体_GBK" w:hAnsi="方正黑体_GBK" w:cs="方正黑体_GBK" w:hint="eastAsia"/>
                <w:kern w:val="0"/>
                <w:sz w:val="18"/>
                <w:szCs w:val="18"/>
              </w:rPr>
              <w:t>暂估业绩</w:t>
            </w:r>
            <w:proofErr w:type="gramEnd"/>
            <w:r w:rsidRPr="00331088">
              <w:rPr>
                <w:rFonts w:ascii="方正黑体_GBK" w:eastAsia="方正黑体_GBK" w:hAnsi="方正黑体_GBK" w:cs="方正黑体_GBK" w:hint="eastAsia"/>
                <w:kern w:val="0"/>
                <w:sz w:val="18"/>
                <w:szCs w:val="18"/>
              </w:rPr>
              <w:t>报酬，</w:t>
            </w:r>
            <w:proofErr w:type="gramStart"/>
            <w:r w:rsidRPr="00331088">
              <w:rPr>
                <w:rFonts w:ascii="方正黑体_GBK" w:eastAsia="方正黑体_GBK" w:hAnsi="方正黑体_GBK" w:cs="方正黑体_GBK" w:hint="eastAsia"/>
                <w:kern w:val="0"/>
                <w:sz w:val="18"/>
                <w:szCs w:val="18"/>
              </w:rPr>
              <w:t>暂估的</w:t>
            </w:r>
            <w:proofErr w:type="gramEnd"/>
            <w:r w:rsidRPr="00331088">
              <w:rPr>
                <w:rFonts w:ascii="方正黑体_GBK" w:eastAsia="方正黑体_GBK" w:hAnsi="方正黑体_GBK" w:cs="方正黑体_GBK" w:hint="eastAsia"/>
                <w:kern w:val="0"/>
                <w:sz w:val="18"/>
                <w:szCs w:val="18"/>
              </w:rPr>
              <w:t>业绩报酬仅用于理财产品会计核算，管理人将扣除</w:t>
            </w:r>
            <w:proofErr w:type="gramStart"/>
            <w:r w:rsidRPr="00331088">
              <w:rPr>
                <w:rFonts w:ascii="方正黑体_GBK" w:eastAsia="方正黑体_GBK" w:hAnsi="方正黑体_GBK" w:cs="方正黑体_GBK" w:hint="eastAsia"/>
                <w:kern w:val="0"/>
                <w:sz w:val="18"/>
                <w:szCs w:val="18"/>
              </w:rPr>
              <w:t>暂估业绩</w:t>
            </w:r>
            <w:proofErr w:type="gramEnd"/>
            <w:r w:rsidRPr="00331088">
              <w:rPr>
                <w:rFonts w:ascii="方正黑体_GBK" w:eastAsia="方正黑体_GBK" w:hAnsi="方正黑体_GBK" w:cs="方正黑体_GBK" w:hint="eastAsia"/>
                <w:kern w:val="0"/>
                <w:sz w:val="18"/>
                <w:szCs w:val="18"/>
              </w:rPr>
              <w:t>报酬后的净值按照说明书约定向投资者进行披露。理财产品实际的业绩报酬以产品赎回确认或产品实际到期时计提核算的数值为准。</w:t>
            </w:r>
            <w:proofErr w:type="gramStart"/>
            <w:r w:rsidRPr="00331088">
              <w:rPr>
                <w:rFonts w:ascii="方正黑体_GBK" w:eastAsia="方正黑体_GBK" w:hAnsi="方正黑体_GBK" w:cs="方正黑体_GBK" w:hint="eastAsia"/>
                <w:kern w:val="0"/>
                <w:sz w:val="18"/>
                <w:szCs w:val="18"/>
              </w:rPr>
              <w:t>暂估业绩</w:t>
            </w:r>
            <w:proofErr w:type="gramEnd"/>
            <w:r w:rsidRPr="00331088">
              <w:rPr>
                <w:rFonts w:ascii="方正黑体_GBK" w:eastAsia="方正黑体_GBK" w:hAnsi="方正黑体_GBK" w:cs="方正黑体_GBK" w:hint="eastAsia"/>
                <w:kern w:val="0"/>
                <w:sz w:val="18"/>
                <w:szCs w:val="18"/>
              </w:rPr>
              <w:t>报酬不影响产品的实际收益。</w:t>
            </w:r>
          </w:p>
          <w:p w:rsidR="009B4E9A" w:rsidRPr="00331088" w:rsidRDefault="00331088">
            <w:pPr>
              <w:widowControl/>
              <w:spacing w:line="200" w:lineRule="exact"/>
              <w:jc w:val="left"/>
              <w:rPr>
                <w:rFonts w:ascii="方正黑体_GBK" w:eastAsia="方正黑体_GBK" w:hAnsi="方正黑体_GBK" w:cs="方正黑体_GBK" w:hint="eastAsia"/>
                <w:kern w:val="0"/>
                <w:sz w:val="18"/>
                <w:szCs w:val="18"/>
              </w:rPr>
            </w:pPr>
            <w:r w:rsidRPr="00331088">
              <w:rPr>
                <w:rFonts w:ascii="方正黑体_GBK" w:eastAsia="方正黑体_GBK" w:hAnsi="方正黑体_GBK" w:cs="方正黑体_GBK" w:hint="eastAsia"/>
                <w:kern w:val="0"/>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w:t>
            </w:r>
            <w:r w:rsidRPr="00331088">
              <w:rPr>
                <w:rFonts w:ascii="方正黑体_GBK" w:eastAsia="方正黑体_GBK" w:hAnsi="方正黑体_GBK" w:cs="方正黑体_GBK" w:hint="eastAsia"/>
                <w:kern w:val="0"/>
                <w:sz w:val="18"/>
                <w:szCs w:val="18"/>
              </w:rPr>
              <w:t>将通过本理财产品的定期报告、到期报告等进行信息披露。</w:t>
            </w:r>
          </w:p>
          <w:p w:rsidR="009B4E9A" w:rsidRPr="00331088" w:rsidRDefault="00331088">
            <w:pPr>
              <w:widowControl/>
              <w:spacing w:line="200" w:lineRule="exact"/>
              <w:jc w:val="left"/>
              <w:rPr>
                <w:rFonts w:ascii="方正黑体_GBK" w:eastAsia="方正黑体_GBK" w:hAnsi="方正黑体_GBK" w:cs="方正黑体_GBK" w:hint="eastAsia"/>
                <w:kern w:val="0"/>
                <w:sz w:val="18"/>
                <w:szCs w:val="18"/>
              </w:rPr>
            </w:pPr>
            <w:r w:rsidRPr="00331088">
              <w:rPr>
                <w:rFonts w:ascii="方正黑体_GBK" w:eastAsia="方正黑体_GBK" w:hAnsi="方正黑体_GBK" w:cs="方正黑体_GBK" w:hint="eastAsia"/>
                <w:kern w:val="0"/>
                <w:sz w:val="18"/>
                <w:szCs w:val="18"/>
              </w:rPr>
              <w:t>注：</w:t>
            </w:r>
            <w:r w:rsidRPr="00331088">
              <w:rPr>
                <w:rFonts w:ascii="方正黑体_GBK" w:eastAsia="方正黑体_GBK" w:hAnsi="方正黑体_GBK" w:cs="方正黑体_GBK" w:hint="eastAsia"/>
                <w:kern w:val="0"/>
                <w:sz w:val="18"/>
                <w:szCs w:val="18"/>
              </w:rPr>
              <w:t>1.</w:t>
            </w:r>
            <w:r w:rsidRPr="00331088">
              <w:rPr>
                <w:rFonts w:ascii="方正黑体_GBK" w:eastAsia="方正黑体_GBK" w:hAnsi="方正黑体_GBK" w:cs="方正黑体_GBK" w:hint="eastAsia"/>
                <w:kern w:val="0"/>
                <w:sz w:val="18"/>
                <w:szCs w:val="18"/>
              </w:rPr>
              <w:t>根据财政部《资产管理产品相关会计处理规定》（财会〔</w:t>
            </w:r>
            <w:r w:rsidRPr="00331088">
              <w:rPr>
                <w:rFonts w:ascii="方正黑体_GBK" w:eastAsia="方正黑体_GBK" w:hAnsi="方正黑体_GBK" w:cs="方正黑体_GBK" w:hint="eastAsia"/>
                <w:kern w:val="0"/>
                <w:sz w:val="18"/>
                <w:szCs w:val="18"/>
              </w:rPr>
              <w:t>2022</w:t>
            </w:r>
            <w:r w:rsidRPr="00331088">
              <w:rPr>
                <w:rFonts w:ascii="方正黑体_GBK" w:eastAsia="方正黑体_GBK" w:hAnsi="方正黑体_GBK" w:cs="方正黑体_GBK" w:hint="eastAsia"/>
                <w:kern w:val="0"/>
                <w:sz w:val="18"/>
                <w:szCs w:val="18"/>
              </w:rPr>
              <w:t>〕</w:t>
            </w:r>
            <w:r w:rsidRPr="00331088">
              <w:rPr>
                <w:rFonts w:ascii="方正黑体_GBK" w:eastAsia="方正黑体_GBK" w:hAnsi="方正黑体_GBK" w:cs="方正黑体_GBK" w:hint="eastAsia"/>
                <w:kern w:val="0"/>
                <w:sz w:val="18"/>
                <w:szCs w:val="18"/>
              </w:rPr>
              <w:t>14</w:t>
            </w:r>
            <w:r w:rsidRPr="00331088">
              <w:rPr>
                <w:rFonts w:ascii="方正黑体_GBK" w:eastAsia="方正黑体_GBK" w:hAnsi="方正黑体_GBK" w:cs="方正黑体_GBK" w:hint="eastAsia"/>
                <w:kern w:val="0"/>
                <w:sz w:val="18"/>
                <w:szCs w:val="18"/>
              </w:rPr>
              <w:t>号）“将当期发生的管理人报酬计入当期损益”的相关规定，本理财产品将每日</w:t>
            </w:r>
            <w:proofErr w:type="gramStart"/>
            <w:r w:rsidRPr="00331088">
              <w:rPr>
                <w:rFonts w:ascii="方正黑体_GBK" w:eastAsia="方正黑体_GBK" w:hAnsi="方正黑体_GBK" w:cs="方正黑体_GBK" w:hint="eastAsia"/>
                <w:kern w:val="0"/>
                <w:sz w:val="18"/>
                <w:szCs w:val="18"/>
              </w:rPr>
              <w:t>计提暂估的</w:t>
            </w:r>
            <w:proofErr w:type="gramEnd"/>
            <w:r w:rsidRPr="00331088">
              <w:rPr>
                <w:rFonts w:ascii="方正黑体_GBK" w:eastAsia="方正黑体_GBK" w:hAnsi="方正黑体_GBK" w:cs="方正黑体_GBK" w:hint="eastAsia"/>
                <w:kern w:val="0"/>
                <w:sz w:val="18"/>
                <w:szCs w:val="18"/>
              </w:rPr>
              <w:t>业绩报酬（如有）。</w:t>
            </w:r>
          </w:p>
          <w:p w:rsidR="009B4E9A" w:rsidRPr="00331088" w:rsidRDefault="00331088">
            <w:pPr>
              <w:widowControl/>
              <w:spacing w:line="200" w:lineRule="exact"/>
              <w:jc w:val="left"/>
              <w:rPr>
                <w:rFonts w:ascii="方正黑体_GBK" w:eastAsia="方正黑体_GBK" w:hAnsi="方正黑体_GBK" w:cs="方正黑体_GBK" w:hint="eastAsia"/>
                <w:kern w:val="0"/>
                <w:sz w:val="18"/>
                <w:szCs w:val="18"/>
              </w:rPr>
            </w:pPr>
            <w:r w:rsidRPr="00331088">
              <w:rPr>
                <w:rFonts w:ascii="方正黑体_GBK" w:eastAsia="方正黑体_GBK" w:hAnsi="方正黑体_GBK" w:cs="方正黑体_GBK" w:hint="eastAsia"/>
                <w:kern w:val="0"/>
                <w:sz w:val="18"/>
                <w:szCs w:val="18"/>
              </w:rPr>
              <w:t>2.</w:t>
            </w:r>
            <w:r w:rsidRPr="00331088">
              <w:rPr>
                <w:rFonts w:ascii="方正黑体_GBK" w:eastAsia="方正黑体_GBK" w:hAnsi="方正黑体_GBK" w:cs="方正黑体_GBK" w:hint="eastAsia"/>
                <w:kern w:val="0"/>
                <w:sz w:val="18"/>
                <w:szCs w:val="18"/>
              </w:rPr>
              <w:t>产品存续期的每个估值日，如果产品各份额当期起</w:t>
            </w:r>
            <w:r w:rsidRPr="00331088">
              <w:rPr>
                <w:rFonts w:ascii="方正黑体_GBK" w:eastAsia="方正黑体_GBK" w:hAnsi="方正黑体_GBK" w:cs="方正黑体_GBK" w:hint="eastAsia"/>
                <w:kern w:val="0"/>
                <w:sz w:val="18"/>
                <w:szCs w:val="18"/>
              </w:rPr>
              <w:lastRenderedPageBreak/>
              <w:t>始日至估值日（即本区间）</w:t>
            </w:r>
            <w:proofErr w:type="gramStart"/>
            <w:r w:rsidRPr="00331088">
              <w:rPr>
                <w:rFonts w:ascii="方正黑体_GBK" w:eastAsia="方正黑体_GBK" w:hAnsi="方正黑体_GBK" w:cs="方正黑体_GBK" w:hint="eastAsia"/>
                <w:kern w:val="0"/>
                <w:sz w:val="18"/>
                <w:szCs w:val="18"/>
              </w:rPr>
              <w:t>的年化收益率</w:t>
            </w:r>
            <w:proofErr w:type="gramEnd"/>
            <w:r w:rsidRPr="00331088">
              <w:rPr>
                <w:rFonts w:ascii="方正黑体_GBK" w:eastAsia="方正黑体_GBK" w:hAnsi="方正黑体_GBK" w:cs="方正黑体_GBK" w:hint="eastAsia"/>
                <w:kern w:val="0"/>
                <w:sz w:val="18"/>
                <w:szCs w:val="18"/>
              </w:rPr>
              <w:t>大于当期业绩报酬计提基准，则相应计提</w:t>
            </w:r>
            <w:proofErr w:type="gramStart"/>
            <w:r w:rsidRPr="00331088">
              <w:rPr>
                <w:rFonts w:ascii="方正黑体_GBK" w:eastAsia="方正黑体_GBK" w:hAnsi="方正黑体_GBK" w:cs="方正黑体_GBK" w:hint="eastAsia"/>
                <w:kern w:val="0"/>
                <w:sz w:val="18"/>
                <w:szCs w:val="18"/>
              </w:rPr>
              <w:t>暂估业绩</w:t>
            </w:r>
            <w:proofErr w:type="gramEnd"/>
            <w:r w:rsidRPr="00331088">
              <w:rPr>
                <w:rFonts w:ascii="方正黑体_GBK" w:eastAsia="方正黑体_GBK" w:hAnsi="方正黑体_GBK" w:cs="方正黑体_GBK" w:hint="eastAsia"/>
                <w:kern w:val="0"/>
                <w:sz w:val="18"/>
                <w:szCs w:val="18"/>
              </w:rPr>
              <w:t>报酬，披露的各份额的单位净值为扣除</w:t>
            </w:r>
            <w:proofErr w:type="gramStart"/>
            <w:r w:rsidRPr="00331088">
              <w:rPr>
                <w:rFonts w:ascii="方正黑体_GBK" w:eastAsia="方正黑体_GBK" w:hAnsi="方正黑体_GBK" w:cs="方正黑体_GBK" w:hint="eastAsia"/>
                <w:kern w:val="0"/>
                <w:sz w:val="18"/>
                <w:szCs w:val="18"/>
              </w:rPr>
              <w:t>暂估业绩</w:t>
            </w:r>
            <w:proofErr w:type="gramEnd"/>
            <w:r w:rsidRPr="00331088">
              <w:rPr>
                <w:rFonts w:ascii="方正黑体_GBK" w:eastAsia="方正黑体_GBK" w:hAnsi="方正黑体_GBK" w:cs="方正黑体_GBK" w:hint="eastAsia"/>
                <w:kern w:val="0"/>
                <w:sz w:val="18"/>
                <w:szCs w:val="18"/>
              </w:rPr>
              <w:t>报酬（如有）之后的水平。</w:t>
            </w:r>
          </w:p>
          <w:p w:rsidR="009B4E9A" w:rsidRPr="00331088" w:rsidRDefault="00331088">
            <w:pPr>
              <w:widowControl/>
              <w:spacing w:line="200" w:lineRule="exact"/>
              <w:jc w:val="left"/>
              <w:rPr>
                <w:rFonts w:ascii="方正黑体_GBK" w:eastAsia="方正黑体_GBK" w:hAnsi="方正黑体_GBK" w:cs="方正黑体_GBK" w:hint="eastAsia"/>
                <w:kern w:val="0"/>
                <w:sz w:val="18"/>
                <w:szCs w:val="18"/>
              </w:rPr>
            </w:pPr>
            <w:r w:rsidRPr="00331088">
              <w:rPr>
                <w:rFonts w:ascii="方正黑体_GBK" w:eastAsia="方正黑体_GBK" w:hAnsi="方正黑体_GBK" w:cs="方正黑体_GBK" w:hint="eastAsia"/>
                <w:kern w:val="0"/>
                <w:sz w:val="18"/>
                <w:szCs w:val="18"/>
              </w:rPr>
              <w:t>计算本区间业绩报酬的公式如下：</w:t>
            </w:r>
          </w:p>
          <w:p w:rsidR="009B4E9A" w:rsidRPr="00331088" w:rsidRDefault="00331088">
            <w:pPr>
              <w:widowControl/>
              <w:spacing w:line="200" w:lineRule="exact"/>
              <w:jc w:val="left"/>
              <w:rPr>
                <w:rFonts w:ascii="方正黑体_GBK" w:eastAsia="方正黑体_GBK" w:hAnsi="方正黑体_GBK" w:cs="方正黑体_GBK" w:hint="eastAsia"/>
                <w:kern w:val="0"/>
                <w:sz w:val="18"/>
                <w:szCs w:val="18"/>
              </w:rPr>
            </w:pPr>
            <w:r w:rsidRPr="00331088">
              <w:rPr>
                <w:rFonts w:ascii="方正黑体_GBK" w:eastAsia="方正黑体_GBK" w:hAnsi="方正黑体_GBK" w:cs="方正黑体_GBK" w:hint="eastAsia"/>
                <w:kern w:val="0"/>
                <w:sz w:val="18"/>
                <w:szCs w:val="18"/>
              </w:rPr>
              <w:t>A={B-C*D*(1+E*F/365)}*G</w:t>
            </w:r>
            <w:r w:rsidRPr="00331088">
              <w:rPr>
                <w:rFonts w:ascii="方正黑体_GBK" w:eastAsia="方正黑体_GBK" w:hAnsi="方正黑体_GBK" w:cs="方正黑体_GBK" w:hint="eastAsia"/>
                <w:kern w:val="0"/>
                <w:sz w:val="18"/>
                <w:szCs w:val="18"/>
              </w:rPr>
              <w:t>。</w:t>
            </w:r>
          </w:p>
          <w:p w:rsidR="009B4E9A" w:rsidRPr="00331088" w:rsidRDefault="00331088">
            <w:pPr>
              <w:widowControl/>
              <w:spacing w:line="200" w:lineRule="exact"/>
              <w:jc w:val="left"/>
              <w:rPr>
                <w:rFonts w:ascii="方正黑体_GBK" w:eastAsia="方正黑体_GBK" w:hAnsi="方正黑体_GBK" w:cs="方正黑体_GBK" w:hint="eastAsia"/>
                <w:sz w:val="18"/>
                <w:szCs w:val="18"/>
              </w:rPr>
            </w:pPr>
            <w:r w:rsidRPr="00331088">
              <w:rPr>
                <w:rFonts w:ascii="方正黑体_GBK" w:eastAsia="方正黑体_GBK" w:hAnsi="方正黑体_GBK" w:cs="方正黑体_GBK" w:hint="eastAsia"/>
                <w:kern w:val="0"/>
                <w:sz w:val="18"/>
                <w:szCs w:val="18"/>
              </w:rPr>
              <w:t>其中：</w:t>
            </w:r>
            <w:r w:rsidRPr="00331088">
              <w:rPr>
                <w:rFonts w:ascii="方正黑体_GBK" w:eastAsia="方正黑体_GBK" w:hAnsi="方正黑体_GBK" w:cs="方正黑体_GBK" w:hint="eastAsia"/>
                <w:kern w:val="0"/>
                <w:sz w:val="18"/>
                <w:szCs w:val="18"/>
              </w:rPr>
              <w:t>A</w:t>
            </w:r>
            <w:r w:rsidRPr="00331088">
              <w:rPr>
                <w:rFonts w:ascii="方正黑体_GBK" w:eastAsia="方正黑体_GBK" w:hAnsi="方正黑体_GBK" w:cs="方正黑体_GBK" w:hint="eastAsia"/>
                <w:kern w:val="0"/>
                <w:sz w:val="18"/>
                <w:szCs w:val="18"/>
              </w:rPr>
              <w:t>是产品该份额从当期起始日到估值日应计提的业绩报酬金额，</w:t>
            </w:r>
            <w:r w:rsidRPr="00331088">
              <w:rPr>
                <w:rFonts w:ascii="方正黑体_GBK" w:eastAsia="方正黑体_GBK" w:hAnsi="方正黑体_GBK" w:cs="方正黑体_GBK" w:hint="eastAsia"/>
                <w:kern w:val="0"/>
                <w:sz w:val="18"/>
                <w:szCs w:val="18"/>
              </w:rPr>
              <w:t>B</w:t>
            </w:r>
            <w:r w:rsidRPr="00331088">
              <w:rPr>
                <w:rFonts w:ascii="方正黑体_GBK" w:eastAsia="方正黑体_GBK" w:hAnsi="方正黑体_GBK" w:cs="方正黑体_GBK" w:hint="eastAsia"/>
                <w:kern w:val="0"/>
                <w:sz w:val="18"/>
                <w:szCs w:val="18"/>
              </w:rPr>
              <w:t>是产品该份额估值日当日未扣除业绩报酬前的资产净值，</w:t>
            </w:r>
            <w:r w:rsidRPr="00331088">
              <w:rPr>
                <w:rFonts w:ascii="方正黑体_GBK" w:eastAsia="方正黑体_GBK" w:hAnsi="方正黑体_GBK" w:cs="方正黑体_GBK" w:hint="eastAsia"/>
                <w:kern w:val="0"/>
                <w:sz w:val="18"/>
                <w:szCs w:val="18"/>
              </w:rPr>
              <w:t>C</w:t>
            </w:r>
            <w:r w:rsidRPr="00331088">
              <w:rPr>
                <w:rFonts w:ascii="方正黑体_GBK" w:eastAsia="方正黑体_GBK" w:hAnsi="方正黑体_GBK" w:cs="方正黑体_GBK" w:hint="eastAsia"/>
                <w:kern w:val="0"/>
                <w:sz w:val="18"/>
                <w:szCs w:val="18"/>
              </w:rPr>
              <w:t>是产品该份额当期起始日的产品份额，</w:t>
            </w:r>
            <w:r w:rsidRPr="00331088">
              <w:rPr>
                <w:rFonts w:ascii="方正黑体_GBK" w:eastAsia="方正黑体_GBK" w:hAnsi="方正黑体_GBK" w:cs="方正黑体_GBK" w:hint="eastAsia"/>
                <w:kern w:val="0"/>
                <w:sz w:val="18"/>
                <w:szCs w:val="18"/>
              </w:rPr>
              <w:t>D</w:t>
            </w:r>
            <w:r w:rsidRPr="00331088">
              <w:rPr>
                <w:rFonts w:ascii="方正黑体_GBK" w:eastAsia="方正黑体_GBK" w:hAnsi="方正黑体_GBK" w:cs="方正黑体_GBK" w:hint="eastAsia"/>
                <w:kern w:val="0"/>
                <w:sz w:val="18"/>
                <w:szCs w:val="18"/>
              </w:rPr>
              <w:t>是产品该份额当期</w:t>
            </w:r>
            <w:proofErr w:type="gramStart"/>
            <w:r w:rsidRPr="00331088">
              <w:rPr>
                <w:rFonts w:ascii="方正黑体_GBK" w:eastAsia="方正黑体_GBK" w:hAnsi="方正黑体_GBK" w:cs="方正黑体_GBK" w:hint="eastAsia"/>
                <w:kern w:val="0"/>
                <w:sz w:val="18"/>
                <w:szCs w:val="18"/>
              </w:rPr>
              <w:t>起始日前</w:t>
            </w:r>
            <w:proofErr w:type="gramEnd"/>
            <w:r w:rsidRPr="00331088">
              <w:rPr>
                <w:rFonts w:ascii="方正黑体_GBK" w:eastAsia="方正黑体_GBK" w:hAnsi="方正黑体_GBK" w:cs="方正黑体_GBK" w:hint="eastAsia"/>
                <w:kern w:val="0"/>
                <w:sz w:val="18"/>
                <w:szCs w:val="18"/>
              </w:rPr>
              <w:t>一自然日的单位净值，</w:t>
            </w:r>
            <w:r w:rsidRPr="00331088">
              <w:rPr>
                <w:rFonts w:ascii="方正黑体_GBK" w:eastAsia="方正黑体_GBK" w:hAnsi="方正黑体_GBK" w:cs="方正黑体_GBK" w:hint="eastAsia"/>
                <w:kern w:val="0"/>
                <w:sz w:val="18"/>
                <w:szCs w:val="18"/>
              </w:rPr>
              <w:t>E</w:t>
            </w:r>
            <w:r w:rsidRPr="00331088">
              <w:rPr>
                <w:rFonts w:ascii="方正黑体_GBK" w:eastAsia="方正黑体_GBK" w:hAnsi="方正黑体_GBK" w:cs="方正黑体_GBK" w:hint="eastAsia"/>
                <w:kern w:val="0"/>
                <w:sz w:val="18"/>
                <w:szCs w:val="18"/>
              </w:rPr>
              <w:t>是产品该份额当期的业绩报酬计提基准，</w:t>
            </w:r>
            <w:r w:rsidRPr="00331088">
              <w:rPr>
                <w:rFonts w:ascii="方正黑体_GBK" w:eastAsia="方正黑体_GBK" w:hAnsi="方正黑体_GBK" w:cs="方正黑体_GBK" w:hint="eastAsia"/>
                <w:kern w:val="0"/>
                <w:sz w:val="18"/>
                <w:szCs w:val="18"/>
              </w:rPr>
              <w:t>F</w:t>
            </w:r>
            <w:r w:rsidRPr="00331088">
              <w:rPr>
                <w:rFonts w:ascii="方正黑体_GBK" w:eastAsia="方正黑体_GBK" w:hAnsi="方正黑体_GBK" w:cs="方正黑体_GBK" w:hint="eastAsia"/>
                <w:kern w:val="0"/>
                <w:sz w:val="18"/>
                <w:szCs w:val="18"/>
              </w:rPr>
              <w:t>是产品该份额当期起始日（含）到估值日（含）的天数，</w:t>
            </w:r>
            <w:r w:rsidRPr="00331088">
              <w:rPr>
                <w:rFonts w:ascii="方正黑体_GBK" w:eastAsia="方正黑体_GBK" w:hAnsi="方正黑体_GBK" w:cs="方正黑体_GBK" w:hint="eastAsia"/>
                <w:kern w:val="0"/>
                <w:sz w:val="18"/>
                <w:szCs w:val="18"/>
              </w:rPr>
              <w:t>G</w:t>
            </w:r>
            <w:r w:rsidRPr="00331088">
              <w:rPr>
                <w:rFonts w:ascii="方正黑体_GBK" w:eastAsia="方正黑体_GBK" w:hAnsi="方正黑体_GBK" w:cs="方正黑体_GBK" w:hint="eastAsia"/>
                <w:kern w:val="0"/>
                <w:sz w:val="18"/>
                <w:szCs w:val="18"/>
              </w:rPr>
              <w:t>是产品该份额当期的业绩报酬计提比例。若本区间内产品该份额存在分红，则应当将分红金额考虑在内；</w:t>
            </w:r>
            <w:proofErr w:type="gramStart"/>
            <w:r w:rsidRPr="00331088">
              <w:rPr>
                <w:rFonts w:ascii="方正黑体_GBK" w:eastAsia="方正黑体_GBK" w:hAnsi="方正黑体_GBK" w:cs="方正黑体_GBK" w:hint="eastAsia"/>
                <w:kern w:val="0"/>
                <w:sz w:val="18"/>
                <w:szCs w:val="18"/>
              </w:rPr>
              <w:t>若业绩</w:t>
            </w:r>
            <w:proofErr w:type="gramEnd"/>
            <w:r w:rsidRPr="00331088">
              <w:rPr>
                <w:rFonts w:ascii="方正黑体_GBK" w:eastAsia="方正黑体_GBK" w:hAnsi="方正黑体_GBK" w:cs="方正黑体_GBK" w:hint="eastAsia"/>
                <w:kern w:val="0"/>
                <w:sz w:val="18"/>
                <w:szCs w:val="18"/>
              </w:rPr>
              <w:t>报酬分段计提，则将分段</w:t>
            </w:r>
            <w:proofErr w:type="gramStart"/>
            <w:r w:rsidRPr="00331088">
              <w:rPr>
                <w:rFonts w:ascii="方正黑体_GBK" w:eastAsia="方正黑体_GBK" w:hAnsi="方正黑体_GBK" w:cs="方正黑体_GBK" w:hint="eastAsia"/>
                <w:kern w:val="0"/>
                <w:sz w:val="18"/>
                <w:szCs w:val="18"/>
              </w:rPr>
              <w:t>计提暂估的</w:t>
            </w:r>
            <w:proofErr w:type="gramEnd"/>
            <w:r w:rsidRPr="00331088">
              <w:rPr>
                <w:rFonts w:ascii="方正黑体_GBK" w:eastAsia="方正黑体_GBK" w:hAnsi="方正黑体_GBK" w:cs="方正黑体_GBK" w:hint="eastAsia"/>
                <w:kern w:val="0"/>
                <w:sz w:val="18"/>
                <w:szCs w:val="18"/>
              </w:rPr>
              <w:t>业绩报酬，因此计提业绩报酬公式根据产品实际情况可能有微调。</w:t>
            </w:r>
          </w:p>
        </w:tc>
        <w:tc>
          <w:tcPr>
            <w:tcW w:w="4305" w:type="dxa"/>
            <w:vAlign w:val="center"/>
          </w:tcPr>
          <w:p w:rsidR="009B4E9A" w:rsidRPr="00331088" w:rsidRDefault="00331088">
            <w:pPr>
              <w:spacing w:line="200" w:lineRule="exact"/>
              <w:rPr>
                <w:rFonts w:ascii="方正黑体_GBK" w:eastAsia="方正黑体_GBK" w:hAnsi="方正黑体_GBK" w:cs="方正黑体_GBK" w:hint="eastAsia"/>
                <w:sz w:val="18"/>
                <w:szCs w:val="18"/>
              </w:rPr>
            </w:pPr>
            <w:r w:rsidRPr="00331088">
              <w:rPr>
                <w:rFonts w:ascii="方正黑体_GBK" w:eastAsia="方正黑体_GBK" w:hAnsi="方正黑体_GBK" w:cs="方正黑体_GBK" w:hint="eastAsia"/>
                <w:sz w:val="18"/>
                <w:szCs w:val="18"/>
              </w:rPr>
              <w:lastRenderedPageBreak/>
              <w:t>认</w:t>
            </w:r>
            <w:r w:rsidRPr="00331088">
              <w:rPr>
                <w:rFonts w:ascii="方正黑体_GBK" w:eastAsia="方正黑体_GBK" w:hAnsi="方正黑体_GBK" w:cs="方正黑体_GBK" w:hint="eastAsia"/>
                <w:sz w:val="18"/>
                <w:szCs w:val="18"/>
              </w:rPr>
              <w:t>/</w:t>
            </w:r>
            <w:r w:rsidRPr="00331088">
              <w:rPr>
                <w:rFonts w:ascii="方正黑体_GBK" w:eastAsia="方正黑体_GBK" w:hAnsi="方正黑体_GBK" w:cs="方正黑体_GBK" w:hint="eastAsia"/>
                <w:sz w:val="18"/>
                <w:szCs w:val="18"/>
              </w:rPr>
              <w:t>申购费：本理财产品暂不收取认</w:t>
            </w:r>
            <w:r w:rsidRPr="00331088">
              <w:rPr>
                <w:rFonts w:ascii="方正黑体_GBK" w:eastAsia="方正黑体_GBK" w:hAnsi="方正黑体_GBK" w:cs="方正黑体_GBK" w:hint="eastAsia"/>
                <w:sz w:val="18"/>
                <w:szCs w:val="18"/>
              </w:rPr>
              <w:t>/</w:t>
            </w:r>
            <w:r w:rsidRPr="00331088">
              <w:rPr>
                <w:rFonts w:ascii="方正黑体_GBK" w:eastAsia="方正黑体_GBK" w:hAnsi="方正黑体_GBK" w:cs="方正黑体_GBK" w:hint="eastAsia"/>
                <w:sz w:val="18"/>
                <w:szCs w:val="18"/>
              </w:rPr>
              <w:t>申购费。</w:t>
            </w:r>
          </w:p>
          <w:p w:rsidR="009B4E9A" w:rsidRPr="00331088" w:rsidRDefault="00331088">
            <w:pPr>
              <w:spacing w:line="200" w:lineRule="exact"/>
              <w:rPr>
                <w:rFonts w:ascii="方正黑体_GBK" w:eastAsia="方正黑体_GBK" w:hAnsi="方正黑体_GBK" w:cs="方正黑体_GBK" w:hint="eastAsia"/>
                <w:sz w:val="18"/>
                <w:szCs w:val="18"/>
              </w:rPr>
            </w:pPr>
            <w:r w:rsidRPr="00331088">
              <w:rPr>
                <w:rFonts w:ascii="方正黑体_GBK" w:eastAsia="方正黑体_GBK" w:hAnsi="方正黑体_GBK" w:cs="方正黑体_GBK" w:hint="eastAsia"/>
                <w:sz w:val="18"/>
                <w:szCs w:val="18"/>
              </w:rPr>
              <w:t>赎回费：本理财产品暂不收取赎回费。</w:t>
            </w:r>
          </w:p>
          <w:p w:rsidR="009B4E9A" w:rsidRPr="00331088" w:rsidRDefault="00331088">
            <w:pPr>
              <w:spacing w:line="200" w:lineRule="exact"/>
              <w:rPr>
                <w:rFonts w:ascii="方正黑体_GBK" w:eastAsia="方正黑体_GBK" w:hAnsi="方正黑体_GBK" w:cs="方正黑体_GBK" w:hint="eastAsia"/>
                <w:sz w:val="18"/>
                <w:szCs w:val="18"/>
              </w:rPr>
            </w:pPr>
            <w:r w:rsidRPr="00331088">
              <w:rPr>
                <w:rFonts w:ascii="方正黑体_GBK" w:eastAsia="方正黑体_GBK" w:hAnsi="方正黑体_GBK" w:cs="方正黑体_GBK" w:hint="eastAsia"/>
                <w:sz w:val="18"/>
                <w:szCs w:val="18"/>
              </w:rPr>
              <w:t>销售费：本理财产品按前一日理财产品资产净值</w:t>
            </w:r>
            <w:proofErr w:type="gramStart"/>
            <w:r w:rsidRPr="00331088">
              <w:rPr>
                <w:rFonts w:ascii="方正黑体_GBK" w:eastAsia="方正黑体_GBK" w:hAnsi="方正黑体_GBK" w:cs="方正黑体_GBK" w:hint="eastAsia"/>
                <w:sz w:val="18"/>
                <w:szCs w:val="18"/>
              </w:rPr>
              <w:t>收取年化</w:t>
            </w:r>
            <w:proofErr w:type="gramEnd"/>
            <w:r w:rsidRPr="00331088">
              <w:rPr>
                <w:rFonts w:ascii="方正黑体_GBK" w:eastAsia="方正黑体_GBK" w:hAnsi="方正黑体_GBK" w:cs="方正黑体_GBK" w:hint="eastAsia"/>
                <w:sz w:val="18"/>
                <w:szCs w:val="18"/>
              </w:rPr>
              <w:t>0.2%</w:t>
            </w:r>
            <w:r w:rsidRPr="00331088">
              <w:rPr>
                <w:rFonts w:ascii="方正黑体_GBK" w:eastAsia="方正黑体_GBK" w:hAnsi="方正黑体_GBK" w:cs="方正黑体_GBK" w:hint="eastAsia"/>
                <w:sz w:val="18"/>
                <w:szCs w:val="18"/>
              </w:rPr>
              <w:t>的销售费，按日计提。</w:t>
            </w:r>
          </w:p>
          <w:p w:rsidR="009B4E9A" w:rsidRPr="00331088" w:rsidRDefault="00331088">
            <w:pPr>
              <w:spacing w:line="200" w:lineRule="exact"/>
              <w:rPr>
                <w:rFonts w:ascii="方正黑体_GBK" w:eastAsia="方正黑体_GBK" w:hAnsi="方正黑体_GBK" w:cs="方正黑体_GBK" w:hint="eastAsia"/>
                <w:sz w:val="18"/>
                <w:szCs w:val="18"/>
              </w:rPr>
            </w:pPr>
            <w:r w:rsidRPr="00331088">
              <w:rPr>
                <w:rFonts w:ascii="方正黑体_GBK" w:eastAsia="方正黑体_GBK" w:hAnsi="方正黑体_GBK" w:cs="方正黑体_GBK" w:hint="eastAsia"/>
                <w:sz w:val="18"/>
                <w:szCs w:val="18"/>
              </w:rPr>
              <w:t>每日计提的销售费</w:t>
            </w:r>
            <w:r w:rsidRPr="00331088">
              <w:rPr>
                <w:rFonts w:ascii="方正黑体_GBK" w:eastAsia="方正黑体_GBK" w:hAnsi="方正黑体_GBK" w:cs="方正黑体_GBK" w:hint="eastAsia"/>
                <w:sz w:val="18"/>
                <w:szCs w:val="18"/>
              </w:rPr>
              <w:t>=</w:t>
            </w:r>
            <w:r w:rsidRPr="00331088">
              <w:rPr>
                <w:rFonts w:ascii="方正黑体_GBK" w:eastAsia="方正黑体_GBK" w:hAnsi="方正黑体_GBK" w:cs="方正黑体_GBK" w:hint="eastAsia"/>
                <w:sz w:val="18"/>
                <w:szCs w:val="18"/>
              </w:rPr>
              <w:t>前一日理财产品资产净值×</w:t>
            </w:r>
            <w:proofErr w:type="gramStart"/>
            <w:r w:rsidRPr="00331088">
              <w:rPr>
                <w:rFonts w:ascii="方正黑体_GBK" w:eastAsia="方正黑体_GBK" w:hAnsi="方正黑体_GBK" w:cs="方正黑体_GBK" w:hint="eastAsia"/>
                <w:sz w:val="18"/>
                <w:szCs w:val="18"/>
              </w:rPr>
              <w:t>年化销售</w:t>
            </w:r>
            <w:proofErr w:type="gramEnd"/>
            <w:r w:rsidRPr="00331088">
              <w:rPr>
                <w:rFonts w:ascii="方正黑体_GBK" w:eastAsia="方正黑体_GBK" w:hAnsi="方正黑体_GBK" w:cs="方正黑体_GBK" w:hint="eastAsia"/>
                <w:sz w:val="18"/>
                <w:szCs w:val="18"/>
              </w:rPr>
              <w:t>费率÷</w:t>
            </w:r>
            <w:r w:rsidRPr="00331088">
              <w:rPr>
                <w:rFonts w:ascii="方正黑体_GBK" w:eastAsia="方正黑体_GBK" w:hAnsi="方正黑体_GBK" w:cs="方正黑体_GBK" w:hint="eastAsia"/>
                <w:sz w:val="18"/>
                <w:szCs w:val="18"/>
              </w:rPr>
              <w:t>365</w:t>
            </w:r>
          </w:p>
          <w:p w:rsidR="009B4E9A" w:rsidRPr="00331088" w:rsidRDefault="00331088">
            <w:pPr>
              <w:spacing w:line="200" w:lineRule="exact"/>
              <w:rPr>
                <w:rFonts w:ascii="方正黑体_GBK" w:eastAsia="方正黑体_GBK" w:hAnsi="方正黑体_GBK" w:cs="方正黑体_GBK" w:hint="eastAsia"/>
                <w:sz w:val="18"/>
                <w:szCs w:val="18"/>
              </w:rPr>
            </w:pPr>
            <w:r w:rsidRPr="00331088">
              <w:rPr>
                <w:rFonts w:ascii="方正黑体_GBK" w:eastAsia="方正黑体_GBK" w:hAnsi="方正黑体_GBK" w:cs="方正黑体_GBK" w:hint="eastAsia"/>
                <w:sz w:val="18"/>
                <w:szCs w:val="18"/>
              </w:rPr>
              <w:t>固定管理费：本理财产品按前一日理财产品资产净值</w:t>
            </w:r>
            <w:proofErr w:type="gramStart"/>
            <w:r w:rsidRPr="00331088">
              <w:rPr>
                <w:rFonts w:ascii="方正黑体_GBK" w:eastAsia="方正黑体_GBK" w:hAnsi="方正黑体_GBK" w:cs="方正黑体_GBK" w:hint="eastAsia"/>
                <w:sz w:val="18"/>
                <w:szCs w:val="18"/>
              </w:rPr>
              <w:t>收取年化</w:t>
            </w:r>
            <w:proofErr w:type="gramEnd"/>
            <w:r w:rsidRPr="00331088">
              <w:rPr>
                <w:rFonts w:ascii="方正黑体_GBK" w:eastAsia="方正黑体_GBK" w:hAnsi="方正黑体_GBK" w:cs="方正黑体_GBK" w:hint="eastAsia"/>
                <w:sz w:val="18"/>
                <w:szCs w:val="18"/>
              </w:rPr>
              <w:t>0.3%</w:t>
            </w:r>
            <w:r w:rsidRPr="00331088">
              <w:rPr>
                <w:rFonts w:ascii="方正黑体_GBK" w:eastAsia="方正黑体_GBK" w:hAnsi="方正黑体_GBK" w:cs="方正黑体_GBK" w:hint="eastAsia"/>
                <w:sz w:val="18"/>
                <w:szCs w:val="18"/>
              </w:rPr>
              <w:t>的固定管理费，按日计提。</w:t>
            </w:r>
          </w:p>
          <w:p w:rsidR="009B4E9A" w:rsidRPr="00331088" w:rsidRDefault="00331088">
            <w:pPr>
              <w:spacing w:line="200" w:lineRule="exact"/>
              <w:rPr>
                <w:rFonts w:ascii="方正黑体_GBK" w:eastAsia="方正黑体_GBK" w:hAnsi="方正黑体_GBK" w:cs="方正黑体_GBK" w:hint="eastAsia"/>
                <w:sz w:val="18"/>
                <w:szCs w:val="18"/>
              </w:rPr>
            </w:pPr>
            <w:r w:rsidRPr="00331088">
              <w:rPr>
                <w:rFonts w:ascii="方正黑体_GBK" w:eastAsia="方正黑体_GBK" w:hAnsi="方正黑体_GBK" w:cs="方正黑体_GBK" w:hint="eastAsia"/>
                <w:sz w:val="18"/>
                <w:szCs w:val="18"/>
              </w:rPr>
              <w:t>每日计提的固定管理费</w:t>
            </w:r>
            <w:r w:rsidRPr="00331088">
              <w:rPr>
                <w:rFonts w:ascii="方正黑体_GBK" w:eastAsia="方正黑体_GBK" w:hAnsi="方正黑体_GBK" w:cs="方正黑体_GBK" w:hint="eastAsia"/>
                <w:sz w:val="18"/>
                <w:szCs w:val="18"/>
              </w:rPr>
              <w:t>=</w:t>
            </w:r>
            <w:r w:rsidRPr="00331088">
              <w:rPr>
                <w:rFonts w:ascii="方正黑体_GBK" w:eastAsia="方正黑体_GBK" w:hAnsi="方正黑体_GBK" w:cs="方正黑体_GBK" w:hint="eastAsia"/>
                <w:sz w:val="18"/>
                <w:szCs w:val="18"/>
              </w:rPr>
              <w:t>前一日理财产品资产净值×</w:t>
            </w:r>
            <w:proofErr w:type="gramStart"/>
            <w:r w:rsidRPr="00331088">
              <w:rPr>
                <w:rFonts w:ascii="方正黑体_GBK" w:eastAsia="方正黑体_GBK" w:hAnsi="方正黑体_GBK" w:cs="方正黑体_GBK" w:hint="eastAsia"/>
                <w:sz w:val="18"/>
                <w:szCs w:val="18"/>
              </w:rPr>
              <w:t>年化固定</w:t>
            </w:r>
            <w:proofErr w:type="gramEnd"/>
            <w:r w:rsidRPr="00331088">
              <w:rPr>
                <w:rFonts w:ascii="方正黑体_GBK" w:eastAsia="方正黑体_GBK" w:hAnsi="方正黑体_GBK" w:cs="方正黑体_GBK" w:hint="eastAsia"/>
                <w:sz w:val="18"/>
                <w:szCs w:val="18"/>
              </w:rPr>
              <w:t>管理费率÷</w:t>
            </w:r>
            <w:r w:rsidRPr="00331088">
              <w:rPr>
                <w:rFonts w:ascii="方正黑体_GBK" w:eastAsia="方正黑体_GBK" w:hAnsi="方正黑体_GBK" w:cs="方正黑体_GBK" w:hint="eastAsia"/>
                <w:sz w:val="18"/>
                <w:szCs w:val="18"/>
              </w:rPr>
              <w:t>365</w:t>
            </w:r>
          </w:p>
          <w:p w:rsidR="009B4E9A" w:rsidRPr="00331088" w:rsidRDefault="00331088">
            <w:pPr>
              <w:spacing w:line="200" w:lineRule="exact"/>
              <w:rPr>
                <w:rFonts w:ascii="方正黑体_GBK" w:eastAsia="方正黑体_GBK" w:hAnsi="方正黑体_GBK" w:cs="方正黑体_GBK" w:hint="eastAsia"/>
                <w:sz w:val="18"/>
                <w:szCs w:val="18"/>
              </w:rPr>
            </w:pPr>
            <w:r w:rsidRPr="00331088">
              <w:rPr>
                <w:rFonts w:ascii="方正黑体_GBK" w:eastAsia="方正黑体_GBK" w:hAnsi="方正黑体_GBK" w:cs="方正黑体_GBK" w:hint="eastAsia"/>
                <w:sz w:val="18"/>
                <w:szCs w:val="18"/>
              </w:rPr>
              <w:t>托管费：本理财产品按前一日理财产品资产净值</w:t>
            </w:r>
            <w:proofErr w:type="gramStart"/>
            <w:r w:rsidRPr="00331088">
              <w:rPr>
                <w:rFonts w:ascii="方正黑体_GBK" w:eastAsia="方正黑体_GBK" w:hAnsi="方正黑体_GBK" w:cs="方正黑体_GBK" w:hint="eastAsia"/>
                <w:sz w:val="18"/>
                <w:szCs w:val="18"/>
              </w:rPr>
              <w:t>收取年化</w:t>
            </w:r>
            <w:proofErr w:type="gramEnd"/>
            <w:r w:rsidRPr="00331088">
              <w:rPr>
                <w:rFonts w:ascii="方正黑体_GBK" w:eastAsia="方正黑体_GBK" w:hAnsi="方正黑体_GBK" w:cs="方正黑体_GBK" w:hint="eastAsia"/>
                <w:sz w:val="18"/>
                <w:szCs w:val="18"/>
              </w:rPr>
              <w:t>0.02%</w:t>
            </w:r>
            <w:r w:rsidRPr="00331088">
              <w:rPr>
                <w:rFonts w:ascii="方正黑体_GBK" w:eastAsia="方正黑体_GBK" w:hAnsi="方正黑体_GBK" w:cs="方正黑体_GBK" w:hint="eastAsia"/>
                <w:sz w:val="18"/>
                <w:szCs w:val="18"/>
              </w:rPr>
              <w:t>的托管费，按日计提。</w:t>
            </w:r>
          </w:p>
          <w:p w:rsidR="009B4E9A" w:rsidRPr="00331088" w:rsidRDefault="00331088">
            <w:pPr>
              <w:spacing w:line="200" w:lineRule="exact"/>
              <w:rPr>
                <w:rFonts w:ascii="方正黑体_GBK" w:eastAsia="方正黑体_GBK" w:hAnsi="方正黑体_GBK" w:cs="方正黑体_GBK" w:hint="eastAsia"/>
                <w:sz w:val="18"/>
                <w:szCs w:val="18"/>
              </w:rPr>
            </w:pPr>
            <w:r w:rsidRPr="00331088">
              <w:rPr>
                <w:rFonts w:ascii="方正黑体_GBK" w:eastAsia="方正黑体_GBK" w:hAnsi="方正黑体_GBK" w:cs="方正黑体_GBK" w:hint="eastAsia"/>
                <w:sz w:val="18"/>
                <w:szCs w:val="18"/>
              </w:rPr>
              <w:t>每日计提的托管费</w:t>
            </w:r>
            <w:r w:rsidRPr="00331088">
              <w:rPr>
                <w:rFonts w:ascii="方正黑体_GBK" w:eastAsia="方正黑体_GBK" w:hAnsi="方正黑体_GBK" w:cs="方正黑体_GBK" w:hint="eastAsia"/>
                <w:sz w:val="18"/>
                <w:szCs w:val="18"/>
              </w:rPr>
              <w:t>=</w:t>
            </w:r>
            <w:r w:rsidRPr="00331088">
              <w:rPr>
                <w:rFonts w:ascii="方正黑体_GBK" w:eastAsia="方正黑体_GBK" w:hAnsi="方正黑体_GBK" w:cs="方正黑体_GBK" w:hint="eastAsia"/>
                <w:sz w:val="18"/>
                <w:szCs w:val="18"/>
              </w:rPr>
              <w:t>前一日理财产品资产净值×</w:t>
            </w:r>
            <w:proofErr w:type="gramStart"/>
            <w:r w:rsidRPr="00331088">
              <w:rPr>
                <w:rFonts w:ascii="方正黑体_GBK" w:eastAsia="方正黑体_GBK" w:hAnsi="方正黑体_GBK" w:cs="方正黑体_GBK" w:hint="eastAsia"/>
                <w:sz w:val="18"/>
                <w:szCs w:val="18"/>
              </w:rPr>
              <w:t>年化托管</w:t>
            </w:r>
            <w:proofErr w:type="gramEnd"/>
            <w:r w:rsidRPr="00331088">
              <w:rPr>
                <w:rFonts w:ascii="方正黑体_GBK" w:eastAsia="方正黑体_GBK" w:hAnsi="方正黑体_GBK" w:cs="方正黑体_GBK" w:hint="eastAsia"/>
                <w:sz w:val="18"/>
                <w:szCs w:val="18"/>
              </w:rPr>
              <w:t>费率÷</w:t>
            </w:r>
            <w:r w:rsidRPr="00331088">
              <w:rPr>
                <w:rFonts w:ascii="方正黑体_GBK" w:eastAsia="方正黑体_GBK" w:hAnsi="方正黑体_GBK" w:cs="方正黑体_GBK" w:hint="eastAsia"/>
                <w:sz w:val="18"/>
                <w:szCs w:val="18"/>
              </w:rPr>
              <w:t>365</w:t>
            </w:r>
          </w:p>
          <w:p w:rsidR="009B4E9A" w:rsidRPr="00331088" w:rsidRDefault="00331088">
            <w:pPr>
              <w:spacing w:line="200" w:lineRule="exact"/>
              <w:rPr>
                <w:rFonts w:ascii="方正黑体_GBK" w:eastAsia="方正黑体_GBK" w:hAnsi="方正黑体_GBK" w:cs="方正黑体_GBK" w:hint="eastAsia"/>
                <w:sz w:val="18"/>
                <w:szCs w:val="18"/>
              </w:rPr>
            </w:pPr>
            <w:r w:rsidRPr="00331088">
              <w:rPr>
                <w:rFonts w:ascii="方正黑体_GBK" w:eastAsia="方正黑体_GBK" w:hAnsi="方正黑体_GBK" w:cs="方正黑体_GBK" w:hint="eastAsia"/>
                <w:sz w:val="18"/>
                <w:szCs w:val="18"/>
              </w:rPr>
              <w:t>业绩报酬：申购</w:t>
            </w:r>
            <w:r w:rsidRPr="00331088">
              <w:rPr>
                <w:rFonts w:ascii="方正黑体_GBK" w:eastAsia="方正黑体_GBK" w:hAnsi="方正黑体_GBK" w:cs="方正黑体_GBK" w:hint="eastAsia"/>
                <w:sz w:val="18"/>
                <w:szCs w:val="18"/>
              </w:rPr>
              <w:t>/</w:t>
            </w:r>
            <w:r w:rsidRPr="00331088">
              <w:rPr>
                <w:rFonts w:ascii="方正黑体_GBK" w:eastAsia="方正黑体_GBK" w:hAnsi="方正黑体_GBK" w:cs="方正黑体_GBK" w:hint="eastAsia"/>
                <w:sz w:val="18"/>
                <w:szCs w:val="18"/>
              </w:rPr>
              <w:t>赎回确认</w:t>
            </w:r>
            <w:r w:rsidRPr="00331088">
              <w:rPr>
                <w:rFonts w:ascii="方正黑体_GBK" w:eastAsia="方正黑体_GBK" w:hAnsi="方正黑体_GBK" w:cs="方正黑体_GBK" w:hint="eastAsia"/>
                <w:sz w:val="18"/>
                <w:szCs w:val="18"/>
              </w:rPr>
              <w:t>日和产品实际到期时，当期产品投资的实际资产组合收益（扣除销售费、固定管理费、托管费等相关费用）超过</w:t>
            </w:r>
            <w:r w:rsidRPr="00331088">
              <w:rPr>
                <w:rFonts w:ascii="方正黑体_GBK" w:eastAsia="方正黑体_GBK" w:hAnsi="方正黑体_GBK" w:cs="方正黑体_GBK" w:hint="eastAsia"/>
                <w:sz w:val="18"/>
                <w:szCs w:val="18"/>
              </w:rPr>
              <w:t>3.</w:t>
            </w:r>
            <w:r w:rsidRPr="00331088">
              <w:rPr>
                <w:rFonts w:ascii="方正黑体_GBK" w:eastAsia="方正黑体_GBK" w:hAnsi="方正黑体_GBK" w:cs="方正黑体_GBK" w:hint="eastAsia"/>
                <w:sz w:val="18"/>
                <w:szCs w:val="18"/>
              </w:rPr>
              <w:t>1</w:t>
            </w:r>
            <w:r w:rsidRPr="00331088">
              <w:rPr>
                <w:rFonts w:ascii="方正黑体_GBK" w:eastAsia="方正黑体_GBK" w:hAnsi="方正黑体_GBK" w:cs="方正黑体_GBK" w:hint="eastAsia"/>
                <w:sz w:val="18"/>
                <w:szCs w:val="18"/>
              </w:rPr>
              <w:t>%</w:t>
            </w:r>
            <w:r w:rsidRPr="00331088">
              <w:rPr>
                <w:rFonts w:ascii="方正黑体_GBK" w:eastAsia="方正黑体_GBK" w:hAnsi="方正黑体_GBK" w:cs="方正黑体_GBK" w:hint="eastAsia"/>
                <w:sz w:val="18"/>
                <w:szCs w:val="18"/>
              </w:rPr>
              <w:t>（年化，即产品该份额对应的业绩报酬计提基准）时，超过部分管理人将按</w:t>
            </w:r>
            <w:r w:rsidRPr="00331088">
              <w:rPr>
                <w:rFonts w:ascii="方正黑体_GBK" w:eastAsia="方正黑体_GBK" w:hAnsi="方正黑体_GBK" w:cs="方正黑体_GBK" w:hint="eastAsia"/>
                <w:sz w:val="18"/>
                <w:szCs w:val="18"/>
              </w:rPr>
              <w:t>20%</w:t>
            </w:r>
            <w:r w:rsidRPr="00331088">
              <w:rPr>
                <w:rFonts w:ascii="方正黑体_GBK" w:eastAsia="方正黑体_GBK" w:hAnsi="方正黑体_GBK" w:cs="方正黑体_GBK" w:hint="eastAsia"/>
                <w:sz w:val="18"/>
                <w:szCs w:val="18"/>
              </w:rPr>
              <w:t>收取业绩报酬。</w:t>
            </w:r>
          </w:p>
          <w:p w:rsidR="009B4E9A" w:rsidRPr="00331088" w:rsidRDefault="00331088">
            <w:pPr>
              <w:spacing w:line="200" w:lineRule="exact"/>
              <w:rPr>
                <w:rFonts w:ascii="方正黑体_GBK" w:eastAsia="方正黑体_GBK" w:hAnsi="方正黑体_GBK" w:cs="方正黑体_GBK" w:hint="eastAsia"/>
                <w:sz w:val="18"/>
                <w:szCs w:val="18"/>
              </w:rPr>
            </w:pPr>
            <w:r w:rsidRPr="00331088">
              <w:rPr>
                <w:rFonts w:ascii="方正黑体_GBK" w:eastAsia="方正黑体_GBK" w:hAnsi="方正黑体_GBK" w:cs="方正黑体_GBK" w:hint="eastAsia"/>
                <w:sz w:val="18"/>
                <w:szCs w:val="18"/>
              </w:rPr>
              <w:t>产品存续期内理财产品每个估值日将</w:t>
            </w:r>
            <w:proofErr w:type="gramStart"/>
            <w:r w:rsidRPr="00331088">
              <w:rPr>
                <w:rFonts w:ascii="方正黑体_GBK" w:eastAsia="方正黑体_GBK" w:hAnsi="方正黑体_GBK" w:cs="方正黑体_GBK" w:hint="eastAsia"/>
                <w:sz w:val="18"/>
                <w:szCs w:val="18"/>
              </w:rPr>
              <w:t>暂估业绩</w:t>
            </w:r>
            <w:proofErr w:type="gramEnd"/>
            <w:r w:rsidRPr="00331088">
              <w:rPr>
                <w:rFonts w:ascii="方正黑体_GBK" w:eastAsia="方正黑体_GBK" w:hAnsi="方正黑体_GBK" w:cs="方正黑体_GBK" w:hint="eastAsia"/>
                <w:sz w:val="18"/>
                <w:szCs w:val="18"/>
              </w:rPr>
              <w:t>报酬，</w:t>
            </w:r>
            <w:proofErr w:type="gramStart"/>
            <w:r w:rsidRPr="00331088">
              <w:rPr>
                <w:rFonts w:ascii="方正黑体_GBK" w:eastAsia="方正黑体_GBK" w:hAnsi="方正黑体_GBK" w:cs="方正黑体_GBK" w:hint="eastAsia"/>
                <w:sz w:val="18"/>
                <w:szCs w:val="18"/>
              </w:rPr>
              <w:t>暂估的</w:t>
            </w:r>
            <w:proofErr w:type="gramEnd"/>
            <w:r w:rsidRPr="00331088">
              <w:rPr>
                <w:rFonts w:ascii="方正黑体_GBK" w:eastAsia="方正黑体_GBK" w:hAnsi="方正黑体_GBK" w:cs="方正黑体_GBK" w:hint="eastAsia"/>
                <w:sz w:val="18"/>
                <w:szCs w:val="18"/>
              </w:rPr>
              <w:t>业绩报酬仅用于理财产品会计核算，管理人将扣除</w:t>
            </w:r>
            <w:proofErr w:type="gramStart"/>
            <w:r w:rsidRPr="00331088">
              <w:rPr>
                <w:rFonts w:ascii="方正黑体_GBK" w:eastAsia="方正黑体_GBK" w:hAnsi="方正黑体_GBK" w:cs="方正黑体_GBK" w:hint="eastAsia"/>
                <w:sz w:val="18"/>
                <w:szCs w:val="18"/>
              </w:rPr>
              <w:t>暂估业绩</w:t>
            </w:r>
            <w:proofErr w:type="gramEnd"/>
            <w:r w:rsidRPr="00331088">
              <w:rPr>
                <w:rFonts w:ascii="方正黑体_GBK" w:eastAsia="方正黑体_GBK" w:hAnsi="方正黑体_GBK" w:cs="方正黑体_GBK" w:hint="eastAsia"/>
                <w:sz w:val="18"/>
                <w:szCs w:val="18"/>
              </w:rPr>
              <w:t>报酬后的净值按照说明书约定向投资者进行披露。理财产品实际的业绩报酬以产品赎回确认或产品实际到期时计提核算的数值为准。</w:t>
            </w:r>
            <w:proofErr w:type="gramStart"/>
            <w:r w:rsidRPr="00331088">
              <w:rPr>
                <w:rFonts w:ascii="方正黑体_GBK" w:eastAsia="方正黑体_GBK" w:hAnsi="方正黑体_GBK" w:cs="方正黑体_GBK" w:hint="eastAsia"/>
                <w:sz w:val="18"/>
                <w:szCs w:val="18"/>
              </w:rPr>
              <w:t>暂估业绩</w:t>
            </w:r>
            <w:proofErr w:type="gramEnd"/>
            <w:r w:rsidRPr="00331088">
              <w:rPr>
                <w:rFonts w:ascii="方正黑体_GBK" w:eastAsia="方正黑体_GBK" w:hAnsi="方正黑体_GBK" w:cs="方正黑体_GBK" w:hint="eastAsia"/>
                <w:sz w:val="18"/>
                <w:szCs w:val="18"/>
              </w:rPr>
              <w:t>报酬不影响产品的实际收益。</w:t>
            </w:r>
          </w:p>
          <w:p w:rsidR="009B4E9A" w:rsidRPr="00331088" w:rsidRDefault="00331088">
            <w:pPr>
              <w:spacing w:line="200" w:lineRule="exact"/>
              <w:rPr>
                <w:rFonts w:ascii="方正黑体_GBK" w:eastAsia="方正黑体_GBK" w:hAnsi="方正黑体_GBK" w:cs="方正黑体_GBK" w:hint="eastAsia"/>
                <w:sz w:val="18"/>
                <w:szCs w:val="18"/>
              </w:rPr>
            </w:pPr>
            <w:r w:rsidRPr="00331088">
              <w:rPr>
                <w:rFonts w:ascii="方正黑体_GBK" w:eastAsia="方正黑体_GBK" w:hAnsi="方正黑体_GBK" w:cs="方正黑体_GBK" w:hint="eastAsia"/>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9B4E9A" w:rsidRPr="00331088" w:rsidRDefault="00331088">
            <w:pPr>
              <w:spacing w:line="200" w:lineRule="exact"/>
              <w:rPr>
                <w:rFonts w:ascii="方正黑体_GBK" w:eastAsia="方正黑体_GBK" w:hAnsi="方正黑体_GBK" w:cs="方正黑体_GBK" w:hint="eastAsia"/>
                <w:sz w:val="18"/>
                <w:szCs w:val="18"/>
              </w:rPr>
            </w:pPr>
            <w:r w:rsidRPr="00331088">
              <w:rPr>
                <w:rFonts w:ascii="方正黑体_GBK" w:eastAsia="方正黑体_GBK" w:hAnsi="方正黑体_GBK" w:cs="方正黑体_GBK" w:hint="eastAsia"/>
                <w:sz w:val="18"/>
                <w:szCs w:val="18"/>
              </w:rPr>
              <w:t>注：</w:t>
            </w:r>
            <w:r w:rsidRPr="00331088">
              <w:rPr>
                <w:rFonts w:ascii="方正黑体_GBK" w:eastAsia="方正黑体_GBK" w:hAnsi="方正黑体_GBK" w:cs="方正黑体_GBK" w:hint="eastAsia"/>
                <w:sz w:val="18"/>
                <w:szCs w:val="18"/>
              </w:rPr>
              <w:t>1.</w:t>
            </w:r>
            <w:r w:rsidRPr="00331088">
              <w:rPr>
                <w:rFonts w:ascii="方正黑体_GBK" w:eastAsia="方正黑体_GBK" w:hAnsi="方正黑体_GBK" w:cs="方正黑体_GBK" w:hint="eastAsia"/>
                <w:sz w:val="18"/>
                <w:szCs w:val="18"/>
              </w:rPr>
              <w:t>根据财政部《资产管理产品相关会计处理规定》（财会〔</w:t>
            </w:r>
            <w:r w:rsidRPr="00331088">
              <w:rPr>
                <w:rFonts w:ascii="方正黑体_GBK" w:eastAsia="方正黑体_GBK" w:hAnsi="方正黑体_GBK" w:cs="方正黑体_GBK" w:hint="eastAsia"/>
                <w:sz w:val="18"/>
                <w:szCs w:val="18"/>
              </w:rPr>
              <w:t>2022</w:t>
            </w:r>
            <w:r w:rsidRPr="00331088">
              <w:rPr>
                <w:rFonts w:ascii="方正黑体_GBK" w:eastAsia="方正黑体_GBK" w:hAnsi="方正黑体_GBK" w:cs="方正黑体_GBK" w:hint="eastAsia"/>
                <w:sz w:val="18"/>
                <w:szCs w:val="18"/>
              </w:rPr>
              <w:t>〕</w:t>
            </w:r>
            <w:r w:rsidRPr="00331088">
              <w:rPr>
                <w:rFonts w:ascii="方正黑体_GBK" w:eastAsia="方正黑体_GBK" w:hAnsi="方正黑体_GBK" w:cs="方正黑体_GBK" w:hint="eastAsia"/>
                <w:sz w:val="18"/>
                <w:szCs w:val="18"/>
              </w:rPr>
              <w:t>14</w:t>
            </w:r>
            <w:r w:rsidRPr="00331088">
              <w:rPr>
                <w:rFonts w:ascii="方正黑体_GBK" w:eastAsia="方正黑体_GBK" w:hAnsi="方正黑体_GBK" w:cs="方正黑体_GBK" w:hint="eastAsia"/>
                <w:sz w:val="18"/>
                <w:szCs w:val="18"/>
              </w:rPr>
              <w:t>号）“将当期发生的管理人报酬计入当期损益”的相关规定，本理财产品将每日</w:t>
            </w:r>
            <w:proofErr w:type="gramStart"/>
            <w:r w:rsidRPr="00331088">
              <w:rPr>
                <w:rFonts w:ascii="方正黑体_GBK" w:eastAsia="方正黑体_GBK" w:hAnsi="方正黑体_GBK" w:cs="方正黑体_GBK" w:hint="eastAsia"/>
                <w:sz w:val="18"/>
                <w:szCs w:val="18"/>
              </w:rPr>
              <w:t>计提暂估的</w:t>
            </w:r>
            <w:proofErr w:type="gramEnd"/>
            <w:r w:rsidRPr="00331088">
              <w:rPr>
                <w:rFonts w:ascii="方正黑体_GBK" w:eastAsia="方正黑体_GBK" w:hAnsi="方正黑体_GBK" w:cs="方正黑体_GBK" w:hint="eastAsia"/>
                <w:sz w:val="18"/>
                <w:szCs w:val="18"/>
              </w:rPr>
              <w:t>业绩报酬（如有）。</w:t>
            </w:r>
          </w:p>
          <w:p w:rsidR="009B4E9A" w:rsidRPr="00331088" w:rsidRDefault="00331088">
            <w:pPr>
              <w:spacing w:line="200" w:lineRule="exact"/>
              <w:rPr>
                <w:rFonts w:ascii="方正黑体_GBK" w:eastAsia="方正黑体_GBK" w:hAnsi="方正黑体_GBK" w:cs="方正黑体_GBK" w:hint="eastAsia"/>
                <w:sz w:val="18"/>
                <w:szCs w:val="18"/>
              </w:rPr>
            </w:pPr>
            <w:r w:rsidRPr="00331088">
              <w:rPr>
                <w:rFonts w:ascii="方正黑体_GBK" w:eastAsia="方正黑体_GBK" w:hAnsi="方正黑体_GBK" w:cs="方正黑体_GBK" w:hint="eastAsia"/>
                <w:sz w:val="18"/>
                <w:szCs w:val="18"/>
              </w:rPr>
              <w:t>2.</w:t>
            </w:r>
            <w:r w:rsidRPr="00331088">
              <w:rPr>
                <w:rFonts w:ascii="方正黑体_GBK" w:eastAsia="方正黑体_GBK" w:hAnsi="方正黑体_GBK" w:cs="方正黑体_GBK" w:hint="eastAsia"/>
                <w:sz w:val="18"/>
                <w:szCs w:val="18"/>
              </w:rPr>
              <w:t>产品存续期的每个估值日，如果产品各份</w:t>
            </w:r>
            <w:r w:rsidRPr="00331088">
              <w:rPr>
                <w:rFonts w:ascii="方正黑体_GBK" w:eastAsia="方正黑体_GBK" w:hAnsi="方正黑体_GBK" w:cs="方正黑体_GBK" w:hint="eastAsia"/>
                <w:sz w:val="18"/>
                <w:szCs w:val="18"/>
              </w:rPr>
              <w:t>额当期起</w:t>
            </w:r>
            <w:r w:rsidRPr="00331088">
              <w:rPr>
                <w:rFonts w:ascii="方正黑体_GBK" w:eastAsia="方正黑体_GBK" w:hAnsi="方正黑体_GBK" w:cs="方正黑体_GBK" w:hint="eastAsia"/>
                <w:sz w:val="18"/>
                <w:szCs w:val="18"/>
              </w:rPr>
              <w:lastRenderedPageBreak/>
              <w:t>始日至估值日（即本区间）</w:t>
            </w:r>
            <w:proofErr w:type="gramStart"/>
            <w:r w:rsidRPr="00331088">
              <w:rPr>
                <w:rFonts w:ascii="方正黑体_GBK" w:eastAsia="方正黑体_GBK" w:hAnsi="方正黑体_GBK" w:cs="方正黑体_GBK" w:hint="eastAsia"/>
                <w:sz w:val="18"/>
                <w:szCs w:val="18"/>
              </w:rPr>
              <w:t>的年化收益率</w:t>
            </w:r>
            <w:proofErr w:type="gramEnd"/>
            <w:r w:rsidRPr="00331088">
              <w:rPr>
                <w:rFonts w:ascii="方正黑体_GBK" w:eastAsia="方正黑体_GBK" w:hAnsi="方正黑体_GBK" w:cs="方正黑体_GBK" w:hint="eastAsia"/>
                <w:sz w:val="18"/>
                <w:szCs w:val="18"/>
              </w:rPr>
              <w:t>大于当期业绩报酬计提基准，则相应计提</w:t>
            </w:r>
            <w:proofErr w:type="gramStart"/>
            <w:r w:rsidRPr="00331088">
              <w:rPr>
                <w:rFonts w:ascii="方正黑体_GBK" w:eastAsia="方正黑体_GBK" w:hAnsi="方正黑体_GBK" w:cs="方正黑体_GBK" w:hint="eastAsia"/>
                <w:sz w:val="18"/>
                <w:szCs w:val="18"/>
              </w:rPr>
              <w:t>暂估业绩</w:t>
            </w:r>
            <w:proofErr w:type="gramEnd"/>
            <w:r w:rsidRPr="00331088">
              <w:rPr>
                <w:rFonts w:ascii="方正黑体_GBK" w:eastAsia="方正黑体_GBK" w:hAnsi="方正黑体_GBK" w:cs="方正黑体_GBK" w:hint="eastAsia"/>
                <w:sz w:val="18"/>
                <w:szCs w:val="18"/>
              </w:rPr>
              <w:t>报酬，披露的各份额的单位净值为扣除</w:t>
            </w:r>
            <w:proofErr w:type="gramStart"/>
            <w:r w:rsidRPr="00331088">
              <w:rPr>
                <w:rFonts w:ascii="方正黑体_GBK" w:eastAsia="方正黑体_GBK" w:hAnsi="方正黑体_GBK" w:cs="方正黑体_GBK" w:hint="eastAsia"/>
                <w:sz w:val="18"/>
                <w:szCs w:val="18"/>
              </w:rPr>
              <w:t>暂估业绩</w:t>
            </w:r>
            <w:proofErr w:type="gramEnd"/>
            <w:r w:rsidRPr="00331088">
              <w:rPr>
                <w:rFonts w:ascii="方正黑体_GBK" w:eastAsia="方正黑体_GBK" w:hAnsi="方正黑体_GBK" w:cs="方正黑体_GBK" w:hint="eastAsia"/>
                <w:sz w:val="18"/>
                <w:szCs w:val="18"/>
              </w:rPr>
              <w:t>报酬（如有）之后的水平。</w:t>
            </w:r>
          </w:p>
          <w:p w:rsidR="009B4E9A" w:rsidRPr="00331088" w:rsidRDefault="00331088">
            <w:pPr>
              <w:spacing w:line="200" w:lineRule="exact"/>
              <w:rPr>
                <w:rFonts w:ascii="方正黑体_GBK" w:eastAsia="方正黑体_GBK" w:hAnsi="方正黑体_GBK" w:cs="方正黑体_GBK" w:hint="eastAsia"/>
                <w:sz w:val="18"/>
                <w:szCs w:val="18"/>
              </w:rPr>
            </w:pPr>
            <w:r w:rsidRPr="00331088">
              <w:rPr>
                <w:rFonts w:ascii="方正黑体_GBK" w:eastAsia="方正黑体_GBK" w:hAnsi="方正黑体_GBK" w:cs="方正黑体_GBK" w:hint="eastAsia"/>
                <w:sz w:val="18"/>
                <w:szCs w:val="18"/>
              </w:rPr>
              <w:t>计算本区间业绩报酬的公式如下：</w:t>
            </w:r>
          </w:p>
          <w:p w:rsidR="009B4E9A" w:rsidRPr="00331088" w:rsidRDefault="00331088">
            <w:pPr>
              <w:spacing w:line="200" w:lineRule="exact"/>
              <w:rPr>
                <w:rFonts w:ascii="方正黑体_GBK" w:eastAsia="方正黑体_GBK" w:hAnsi="方正黑体_GBK" w:cs="方正黑体_GBK" w:hint="eastAsia"/>
                <w:sz w:val="18"/>
                <w:szCs w:val="18"/>
              </w:rPr>
            </w:pPr>
            <w:r w:rsidRPr="00331088">
              <w:rPr>
                <w:rFonts w:ascii="方正黑体_GBK" w:eastAsia="方正黑体_GBK" w:hAnsi="方正黑体_GBK" w:cs="方正黑体_GBK" w:hint="eastAsia"/>
                <w:sz w:val="18"/>
                <w:szCs w:val="18"/>
              </w:rPr>
              <w:t>A={B-C*D*(1+E*F/365)}*G</w:t>
            </w:r>
            <w:r w:rsidRPr="00331088">
              <w:rPr>
                <w:rFonts w:ascii="方正黑体_GBK" w:eastAsia="方正黑体_GBK" w:hAnsi="方正黑体_GBK" w:cs="方正黑体_GBK" w:hint="eastAsia"/>
                <w:sz w:val="18"/>
                <w:szCs w:val="18"/>
              </w:rPr>
              <w:t>。</w:t>
            </w:r>
          </w:p>
          <w:p w:rsidR="009B4E9A" w:rsidRPr="00331088" w:rsidRDefault="00331088">
            <w:pPr>
              <w:widowControl/>
              <w:spacing w:line="200" w:lineRule="exact"/>
              <w:jc w:val="left"/>
              <w:rPr>
                <w:rFonts w:ascii="方正黑体_GBK" w:eastAsia="方正黑体_GBK" w:hAnsi="方正黑体_GBK" w:cs="方正黑体_GBK" w:hint="eastAsia"/>
                <w:color w:val="000000"/>
                <w:kern w:val="0"/>
                <w:sz w:val="18"/>
                <w:szCs w:val="18"/>
              </w:rPr>
            </w:pPr>
            <w:r w:rsidRPr="00331088">
              <w:rPr>
                <w:rFonts w:ascii="方正黑体_GBK" w:eastAsia="方正黑体_GBK" w:hAnsi="方正黑体_GBK" w:cs="方正黑体_GBK" w:hint="eastAsia"/>
                <w:sz w:val="18"/>
                <w:szCs w:val="18"/>
              </w:rPr>
              <w:t>其中：</w:t>
            </w:r>
            <w:r w:rsidRPr="00331088">
              <w:rPr>
                <w:rFonts w:ascii="方正黑体_GBK" w:eastAsia="方正黑体_GBK" w:hAnsi="方正黑体_GBK" w:cs="方正黑体_GBK" w:hint="eastAsia"/>
                <w:sz w:val="18"/>
                <w:szCs w:val="18"/>
              </w:rPr>
              <w:t>A</w:t>
            </w:r>
            <w:r w:rsidRPr="00331088">
              <w:rPr>
                <w:rFonts w:ascii="方正黑体_GBK" w:eastAsia="方正黑体_GBK" w:hAnsi="方正黑体_GBK" w:cs="方正黑体_GBK" w:hint="eastAsia"/>
                <w:sz w:val="18"/>
                <w:szCs w:val="18"/>
              </w:rPr>
              <w:t>是产品该份额从当期起始日到估值日应计提的业绩报酬金额，</w:t>
            </w:r>
            <w:r w:rsidRPr="00331088">
              <w:rPr>
                <w:rFonts w:ascii="方正黑体_GBK" w:eastAsia="方正黑体_GBK" w:hAnsi="方正黑体_GBK" w:cs="方正黑体_GBK" w:hint="eastAsia"/>
                <w:sz w:val="18"/>
                <w:szCs w:val="18"/>
              </w:rPr>
              <w:t>B</w:t>
            </w:r>
            <w:r w:rsidRPr="00331088">
              <w:rPr>
                <w:rFonts w:ascii="方正黑体_GBK" w:eastAsia="方正黑体_GBK" w:hAnsi="方正黑体_GBK" w:cs="方正黑体_GBK" w:hint="eastAsia"/>
                <w:sz w:val="18"/>
                <w:szCs w:val="18"/>
              </w:rPr>
              <w:t>是产品该份额估值日当日未扣除业绩报酬前的资产净值，</w:t>
            </w:r>
            <w:r w:rsidRPr="00331088">
              <w:rPr>
                <w:rFonts w:ascii="方正黑体_GBK" w:eastAsia="方正黑体_GBK" w:hAnsi="方正黑体_GBK" w:cs="方正黑体_GBK" w:hint="eastAsia"/>
                <w:sz w:val="18"/>
                <w:szCs w:val="18"/>
              </w:rPr>
              <w:t>C</w:t>
            </w:r>
            <w:r w:rsidRPr="00331088">
              <w:rPr>
                <w:rFonts w:ascii="方正黑体_GBK" w:eastAsia="方正黑体_GBK" w:hAnsi="方正黑体_GBK" w:cs="方正黑体_GBK" w:hint="eastAsia"/>
                <w:sz w:val="18"/>
                <w:szCs w:val="18"/>
              </w:rPr>
              <w:t>是产品该份额当期起始日的产品份额，</w:t>
            </w:r>
            <w:r w:rsidRPr="00331088">
              <w:rPr>
                <w:rFonts w:ascii="方正黑体_GBK" w:eastAsia="方正黑体_GBK" w:hAnsi="方正黑体_GBK" w:cs="方正黑体_GBK" w:hint="eastAsia"/>
                <w:sz w:val="18"/>
                <w:szCs w:val="18"/>
              </w:rPr>
              <w:t>D</w:t>
            </w:r>
            <w:r w:rsidRPr="00331088">
              <w:rPr>
                <w:rFonts w:ascii="方正黑体_GBK" w:eastAsia="方正黑体_GBK" w:hAnsi="方正黑体_GBK" w:cs="方正黑体_GBK" w:hint="eastAsia"/>
                <w:sz w:val="18"/>
                <w:szCs w:val="18"/>
              </w:rPr>
              <w:t>是产品该份额当期</w:t>
            </w:r>
            <w:proofErr w:type="gramStart"/>
            <w:r w:rsidRPr="00331088">
              <w:rPr>
                <w:rFonts w:ascii="方正黑体_GBK" w:eastAsia="方正黑体_GBK" w:hAnsi="方正黑体_GBK" w:cs="方正黑体_GBK" w:hint="eastAsia"/>
                <w:sz w:val="18"/>
                <w:szCs w:val="18"/>
              </w:rPr>
              <w:t>起始日前</w:t>
            </w:r>
            <w:proofErr w:type="gramEnd"/>
            <w:r w:rsidRPr="00331088">
              <w:rPr>
                <w:rFonts w:ascii="方正黑体_GBK" w:eastAsia="方正黑体_GBK" w:hAnsi="方正黑体_GBK" w:cs="方正黑体_GBK" w:hint="eastAsia"/>
                <w:sz w:val="18"/>
                <w:szCs w:val="18"/>
              </w:rPr>
              <w:t>一自然日的单位净值，</w:t>
            </w:r>
            <w:r w:rsidRPr="00331088">
              <w:rPr>
                <w:rFonts w:ascii="方正黑体_GBK" w:eastAsia="方正黑体_GBK" w:hAnsi="方正黑体_GBK" w:cs="方正黑体_GBK" w:hint="eastAsia"/>
                <w:sz w:val="18"/>
                <w:szCs w:val="18"/>
              </w:rPr>
              <w:t>E</w:t>
            </w:r>
            <w:r w:rsidRPr="00331088">
              <w:rPr>
                <w:rFonts w:ascii="方正黑体_GBK" w:eastAsia="方正黑体_GBK" w:hAnsi="方正黑体_GBK" w:cs="方正黑体_GBK" w:hint="eastAsia"/>
                <w:sz w:val="18"/>
                <w:szCs w:val="18"/>
              </w:rPr>
              <w:t>是产品该份额当期的业绩报酬计提基准，</w:t>
            </w:r>
            <w:r w:rsidRPr="00331088">
              <w:rPr>
                <w:rFonts w:ascii="方正黑体_GBK" w:eastAsia="方正黑体_GBK" w:hAnsi="方正黑体_GBK" w:cs="方正黑体_GBK" w:hint="eastAsia"/>
                <w:sz w:val="18"/>
                <w:szCs w:val="18"/>
              </w:rPr>
              <w:t>F</w:t>
            </w:r>
            <w:r w:rsidRPr="00331088">
              <w:rPr>
                <w:rFonts w:ascii="方正黑体_GBK" w:eastAsia="方正黑体_GBK" w:hAnsi="方正黑体_GBK" w:cs="方正黑体_GBK" w:hint="eastAsia"/>
                <w:sz w:val="18"/>
                <w:szCs w:val="18"/>
              </w:rPr>
              <w:t>是产品该份额当期起始日（含）到估值日（含）的天数，</w:t>
            </w:r>
            <w:r w:rsidRPr="00331088">
              <w:rPr>
                <w:rFonts w:ascii="方正黑体_GBK" w:eastAsia="方正黑体_GBK" w:hAnsi="方正黑体_GBK" w:cs="方正黑体_GBK" w:hint="eastAsia"/>
                <w:sz w:val="18"/>
                <w:szCs w:val="18"/>
              </w:rPr>
              <w:t>G</w:t>
            </w:r>
            <w:r w:rsidRPr="00331088">
              <w:rPr>
                <w:rFonts w:ascii="方正黑体_GBK" w:eastAsia="方正黑体_GBK" w:hAnsi="方正黑体_GBK" w:cs="方正黑体_GBK" w:hint="eastAsia"/>
                <w:sz w:val="18"/>
                <w:szCs w:val="18"/>
              </w:rPr>
              <w:t>是产品该份额当期的业绩报酬计提比例。若本区间内产品该份额存在分红，则应当将分红金额考虑在内；</w:t>
            </w:r>
            <w:proofErr w:type="gramStart"/>
            <w:r w:rsidRPr="00331088">
              <w:rPr>
                <w:rFonts w:ascii="方正黑体_GBK" w:eastAsia="方正黑体_GBK" w:hAnsi="方正黑体_GBK" w:cs="方正黑体_GBK" w:hint="eastAsia"/>
                <w:sz w:val="18"/>
                <w:szCs w:val="18"/>
              </w:rPr>
              <w:t>若业绩</w:t>
            </w:r>
            <w:proofErr w:type="gramEnd"/>
            <w:r w:rsidRPr="00331088">
              <w:rPr>
                <w:rFonts w:ascii="方正黑体_GBK" w:eastAsia="方正黑体_GBK" w:hAnsi="方正黑体_GBK" w:cs="方正黑体_GBK" w:hint="eastAsia"/>
                <w:sz w:val="18"/>
                <w:szCs w:val="18"/>
              </w:rPr>
              <w:t>报酬分段计提，则将分段</w:t>
            </w:r>
            <w:proofErr w:type="gramStart"/>
            <w:r w:rsidRPr="00331088">
              <w:rPr>
                <w:rFonts w:ascii="方正黑体_GBK" w:eastAsia="方正黑体_GBK" w:hAnsi="方正黑体_GBK" w:cs="方正黑体_GBK" w:hint="eastAsia"/>
                <w:sz w:val="18"/>
                <w:szCs w:val="18"/>
              </w:rPr>
              <w:t>计提暂估的</w:t>
            </w:r>
            <w:proofErr w:type="gramEnd"/>
            <w:r w:rsidRPr="00331088">
              <w:rPr>
                <w:rFonts w:ascii="方正黑体_GBK" w:eastAsia="方正黑体_GBK" w:hAnsi="方正黑体_GBK" w:cs="方正黑体_GBK" w:hint="eastAsia"/>
                <w:sz w:val="18"/>
                <w:szCs w:val="18"/>
              </w:rPr>
              <w:t>业绩报酬，因此计提业绩报酬公式根据产品实际情况可能有微调。</w:t>
            </w:r>
          </w:p>
        </w:tc>
        <w:tc>
          <w:tcPr>
            <w:tcW w:w="1210" w:type="dxa"/>
            <w:vAlign w:val="center"/>
          </w:tcPr>
          <w:p w:rsidR="009B4E9A" w:rsidRPr="00331088" w:rsidRDefault="00331088">
            <w:pPr>
              <w:widowControl/>
              <w:spacing w:line="200" w:lineRule="exact"/>
              <w:jc w:val="center"/>
              <w:rPr>
                <w:rFonts w:ascii="方正黑体_GBK" w:eastAsia="方正黑体_GBK" w:hAnsi="方正黑体_GBK" w:cs="方正黑体_GBK" w:hint="eastAsia"/>
                <w:sz w:val="18"/>
                <w:szCs w:val="18"/>
              </w:rPr>
            </w:pPr>
            <w:r w:rsidRPr="00331088">
              <w:rPr>
                <w:rFonts w:ascii="方正黑体_GBK" w:eastAsia="方正黑体_GBK" w:hAnsi="方正黑体_GBK" w:cs="方正黑体_GBK" w:hint="eastAsia"/>
                <w:sz w:val="18"/>
                <w:szCs w:val="18"/>
              </w:rPr>
              <w:lastRenderedPageBreak/>
              <w:t>2024</w:t>
            </w:r>
            <w:r w:rsidRPr="00331088">
              <w:rPr>
                <w:rFonts w:ascii="方正黑体_GBK" w:eastAsia="方正黑体_GBK" w:hAnsi="方正黑体_GBK" w:cs="方正黑体_GBK" w:hint="eastAsia"/>
                <w:sz w:val="18"/>
                <w:szCs w:val="18"/>
              </w:rPr>
              <w:t>年</w:t>
            </w:r>
            <w:r w:rsidRPr="00331088">
              <w:rPr>
                <w:rFonts w:ascii="方正黑体_GBK" w:eastAsia="方正黑体_GBK" w:hAnsi="方正黑体_GBK" w:cs="方正黑体_GBK" w:hint="eastAsia"/>
                <w:sz w:val="18"/>
                <w:szCs w:val="18"/>
              </w:rPr>
              <w:t>9</w:t>
            </w:r>
            <w:r w:rsidRPr="00331088">
              <w:rPr>
                <w:rFonts w:ascii="方正黑体_GBK" w:eastAsia="方正黑体_GBK" w:hAnsi="方正黑体_GBK" w:cs="方正黑体_GBK" w:hint="eastAsia"/>
                <w:sz w:val="18"/>
                <w:szCs w:val="18"/>
              </w:rPr>
              <w:t>月</w:t>
            </w:r>
            <w:r w:rsidRPr="00331088">
              <w:rPr>
                <w:rFonts w:ascii="方正黑体_GBK" w:eastAsia="方正黑体_GBK" w:hAnsi="方正黑体_GBK" w:cs="方正黑体_GBK" w:hint="eastAsia"/>
                <w:sz w:val="18"/>
                <w:szCs w:val="18"/>
              </w:rPr>
              <w:t>27</w:t>
            </w:r>
            <w:r w:rsidRPr="00331088">
              <w:rPr>
                <w:rFonts w:ascii="方正黑体_GBK" w:eastAsia="方正黑体_GBK" w:hAnsi="方正黑体_GBK" w:cs="方正黑体_GBK" w:hint="eastAsia"/>
                <w:sz w:val="18"/>
                <w:szCs w:val="18"/>
              </w:rPr>
              <w:t>日</w:t>
            </w:r>
          </w:p>
        </w:tc>
      </w:tr>
    </w:tbl>
    <w:p w:rsidR="009B4E9A" w:rsidRPr="00331088" w:rsidRDefault="00331088">
      <w:pPr>
        <w:ind w:firstLine="420"/>
        <w:rPr>
          <w:rFonts w:ascii="方正黑体_GBK" w:eastAsia="方正黑体_GBK" w:hAnsi="方正黑体_GBK" w:cs="方正黑体_GBK" w:hint="eastAsia"/>
          <w:sz w:val="24"/>
        </w:rPr>
      </w:pPr>
      <w:r w:rsidRPr="00331088">
        <w:rPr>
          <w:rFonts w:ascii="方正黑体_GBK" w:eastAsia="方正黑体_GBK" w:hAnsi="方正黑体_GBK" w:cs="方正黑体_GBK" w:hint="eastAsia"/>
          <w:sz w:val="24"/>
        </w:rPr>
        <w:t>同时，本公</w:t>
      </w:r>
      <w:r w:rsidRPr="00331088">
        <w:rPr>
          <w:rFonts w:ascii="方正黑体_GBK" w:eastAsia="方正黑体_GBK" w:hAnsi="方正黑体_GBK" w:cs="方正黑体_GBK" w:hint="eastAsia"/>
          <w:sz w:val="24"/>
        </w:rPr>
        <w:t>司对理财产品销售文件进行了更新，更新后的理财产品销售文件详见</w:t>
      </w:r>
      <w:r w:rsidRPr="00331088">
        <w:rPr>
          <w:rFonts w:ascii="方正黑体_GBK" w:eastAsia="方正黑体_GBK" w:hAnsi="方正黑体_GBK" w:cs="方正黑体_GBK" w:hint="eastAsia"/>
          <w:sz w:val="24"/>
        </w:rPr>
        <w:t>信息披露</w:t>
      </w:r>
      <w:r w:rsidRPr="00331088">
        <w:rPr>
          <w:rFonts w:ascii="方正黑体_GBK" w:eastAsia="方正黑体_GBK" w:hAnsi="方正黑体_GBK" w:cs="方正黑体_GBK" w:hint="eastAsia"/>
          <w:sz w:val="24"/>
        </w:rPr>
        <w:t>。</w:t>
      </w:r>
    </w:p>
    <w:p w:rsidR="009B4E9A" w:rsidRPr="00331088" w:rsidRDefault="00331088">
      <w:pPr>
        <w:ind w:firstLine="420"/>
        <w:rPr>
          <w:rFonts w:ascii="方正黑体_GBK" w:eastAsia="方正黑体_GBK" w:hAnsi="方正黑体_GBK" w:cs="方正黑体_GBK" w:hint="eastAsia"/>
          <w:sz w:val="24"/>
        </w:rPr>
      </w:pPr>
      <w:r w:rsidRPr="00331088">
        <w:rPr>
          <w:rFonts w:ascii="方正黑体_GBK" w:eastAsia="方正黑体_GBK" w:hAnsi="方正黑体_GBK" w:cs="方正黑体_GBK" w:hint="eastAsia"/>
          <w:b/>
          <w:bCs/>
          <w:sz w:val="24"/>
        </w:rPr>
        <w:t>如您不同意上述调整，可于</w:t>
      </w:r>
      <w:r w:rsidRPr="00331088">
        <w:rPr>
          <w:rFonts w:ascii="方正黑体_GBK" w:eastAsia="方正黑体_GBK" w:hAnsi="方正黑体_GBK" w:cs="方正黑体_GBK" w:hint="eastAsia"/>
          <w:b/>
          <w:bCs/>
          <w:sz w:val="24"/>
        </w:rPr>
        <w:t>202</w:t>
      </w:r>
      <w:r w:rsidRPr="00331088">
        <w:rPr>
          <w:rFonts w:ascii="方正黑体_GBK" w:eastAsia="方正黑体_GBK" w:hAnsi="方正黑体_GBK" w:cs="方正黑体_GBK" w:hint="eastAsia"/>
          <w:b/>
          <w:bCs/>
          <w:sz w:val="24"/>
        </w:rPr>
        <w:t>4</w:t>
      </w:r>
      <w:r w:rsidRPr="00331088">
        <w:rPr>
          <w:rFonts w:ascii="方正黑体_GBK" w:eastAsia="方正黑体_GBK" w:hAnsi="方正黑体_GBK" w:cs="方正黑体_GBK" w:hint="eastAsia"/>
          <w:b/>
          <w:bCs/>
          <w:sz w:val="24"/>
        </w:rPr>
        <w:t>年</w:t>
      </w:r>
      <w:r w:rsidRPr="00331088">
        <w:rPr>
          <w:rFonts w:ascii="方正黑体_GBK" w:eastAsia="方正黑体_GBK" w:hAnsi="方正黑体_GBK" w:cs="方正黑体_GBK" w:hint="eastAsia"/>
          <w:b/>
          <w:bCs/>
          <w:sz w:val="24"/>
        </w:rPr>
        <w:t>9</w:t>
      </w:r>
      <w:r w:rsidRPr="00331088">
        <w:rPr>
          <w:rFonts w:ascii="方正黑体_GBK" w:eastAsia="方正黑体_GBK" w:hAnsi="方正黑体_GBK" w:cs="方正黑体_GBK" w:hint="eastAsia"/>
          <w:b/>
          <w:bCs/>
          <w:sz w:val="24"/>
        </w:rPr>
        <w:t>月</w:t>
      </w:r>
      <w:r w:rsidRPr="00331088">
        <w:rPr>
          <w:rFonts w:ascii="方正黑体_GBK" w:eastAsia="方正黑体_GBK" w:hAnsi="方正黑体_GBK" w:cs="方正黑体_GBK" w:hint="eastAsia"/>
          <w:b/>
          <w:bCs/>
          <w:sz w:val="24"/>
        </w:rPr>
        <w:t>19</w:t>
      </w:r>
      <w:r w:rsidRPr="00331088">
        <w:rPr>
          <w:rFonts w:ascii="方正黑体_GBK" w:eastAsia="方正黑体_GBK" w:hAnsi="方正黑体_GBK" w:cs="方正黑体_GBK" w:hint="eastAsia"/>
          <w:b/>
          <w:bCs/>
          <w:sz w:val="24"/>
        </w:rPr>
        <w:t>日至</w:t>
      </w:r>
      <w:r w:rsidRPr="00331088">
        <w:rPr>
          <w:rFonts w:ascii="方正黑体_GBK" w:eastAsia="方正黑体_GBK" w:hAnsi="方正黑体_GBK" w:cs="方正黑体_GBK" w:hint="eastAsia"/>
          <w:b/>
          <w:bCs/>
          <w:sz w:val="24"/>
        </w:rPr>
        <w:t>202</w:t>
      </w:r>
      <w:r w:rsidRPr="00331088">
        <w:rPr>
          <w:rFonts w:ascii="方正黑体_GBK" w:eastAsia="方正黑体_GBK" w:hAnsi="方正黑体_GBK" w:cs="方正黑体_GBK" w:hint="eastAsia"/>
          <w:b/>
          <w:bCs/>
          <w:sz w:val="24"/>
        </w:rPr>
        <w:t>4</w:t>
      </w:r>
      <w:r w:rsidRPr="00331088">
        <w:rPr>
          <w:rFonts w:ascii="方正黑体_GBK" w:eastAsia="方正黑体_GBK" w:hAnsi="方正黑体_GBK" w:cs="方正黑体_GBK" w:hint="eastAsia"/>
          <w:b/>
          <w:bCs/>
          <w:sz w:val="24"/>
        </w:rPr>
        <w:t>年</w:t>
      </w:r>
      <w:r w:rsidRPr="00331088">
        <w:rPr>
          <w:rFonts w:ascii="方正黑体_GBK" w:eastAsia="方正黑体_GBK" w:hAnsi="方正黑体_GBK" w:cs="方正黑体_GBK" w:hint="eastAsia"/>
          <w:b/>
          <w:bCs/>
          <w:sz w:val="24"/>
        </w:rPr>
        <w:t>9</w:t>
      </w:r>
      <w:r w:rsidRPr="00331088">
        <w:rPr>
          <w:rFonts w:ascii="方正黑体_GBK" w:eastAsia="方正黑体_GBK" w:hAnsi="方正黑体_GBK" w:cs="方正黑体_GBK" w:hint="eastAsia"/>
          <w:b/>
          <w:bCs/>
          <w:sz w:val="24"/>
        </w:rPr>
        <w:t>月</w:t>
      </w:r>
      <w:r w:rsidRPr="00331088">
        <w:rPr>
          <w:rFonts w:ascii="方正黑体_GBK" w:eastAsia="方正黑体_GBK" w:hAnsi="方正黑体_GBK" w:cs="方正黑体_GBK" w:hint="eastAsia"/>
          <w:b/>
          <w:bCs/>
          <w:sz w:val="24"/>
        </w:rPr>
        <w:t>25</w:t>
      </w:r>
      <w:r w:rsidRPr="00331088">
        <w:rPr>
          <w:rFonts w:ascii="方正黑体_GBK" w:eastAsia="方正黑体_GBK" w:hAnsi="方正黑体_GBK" w:cs="方正黑体_GBK" w:hint="eastAsia"/>
          <w:b/>
          <w:bCs/>
          <w:sz w:val="24"/>
        </w:rPr>
        <w:t>日（产品申购</w:t>
      </w:r>
      <w:r w:rsidRPr="00331088">
        <w:rPr>
          <w:rFonts w:ascii="方正黑体_GBK" w:eastAsia="方正黑体_GBK" w:hAnsi="方正黑体_GBK" w:cs="方正黑体_GBK" w:hint="eastAsia"/>
          <w:b/>
          <w:bCs/>
          <w:sz w:val="24"/>
        </w:rPr>
        <w:t>/</w:t>
      </w:r>
      <w:r w:rsidRPr="00331088">
        <w:rPr>
          <w:rFonts w:ascii="方正黑体_GBK" w:eastAsia="方正黑体_GBK" w:hAnsi="方正黑体_GBK" w:cs="方正黑体_GBK" w:hint="eastAsia"/>
          <w:b/>
          <w:bCs/>
          <w:sz w:val="24"/>
        </w:rPr>
        <w:t>赎回开放期期间）通过</w:t>
      </w:r>
      <w:r w:rsidRPr="00331088">
        <w:rPr>
          <w:rFonts w:ascii="方正黑体_GBK" w:eastAsia="方正黑体_GBK" w:hAnsi="方正黑体_GBK" w:cs="方正黑体_GBK" w:hint="eastAsia"/>
          <w:b/>
          <w:bCs/>
          <w:sz w:val="24"/>
        </w:rPr>
        <w:t>销售</w:t>
      </w:r>
      <w:r w:rsidRPr="00331088">
        <w:rPr>
          <w:rFonts w:ascii="方正黑体_GBK" w:eastAsia="方正黑体_GBK" w:hAnsi="方正黑体_GBK" w:cs="方正黑体_GBK" w:hint="eastAsia"/>
          <w:b/>
          <w:bCs/>
          <w:sz w:val="24"/>
        </w:rPr>
        <w:t>机构向管理人申请赎回。</w:t>
      </w:r>
    </w:p>
    <w:p w:rsidR="009B4E9A" w:rsidRPr="00331088" w:rsidRDefault="00331088">
      <w:pPr>
        <w:ind w:firstLine="420"/>
        <w:rPr>
          <w:rFonts w:ascii="方正黑体_GBK" w:eastAsia="方正黑体_GBK" w:hAnsi="方正黑体_GBK" w:cs="方正黑体_GBK" w:hint="eastAsia"/>
          <w:sz w:val="24"/>
        </w:rPr>
      </w:pPr>
      <w:r w:rsidRPr="00331088">
        <w:rPr>
          <w:rFonts w:ascii="方正黑体_GBK" w:eastAsia="方正黑体_GBK" w:hAnsi="方正黑体_GBK" w:cs="方正黑体_GBK" w:hint="eastAsia"/>
          <w:sz w:val="24"/>
        </w:rPr>
        <w:t>如您对本公告有任何疑问，可联系本理财产品</w:t>
      </w:r>
      <w:r w:rsidRPr="00331088">
        <w:rPr>
          <w:rFonts w:ascii="方正黑体_GBK" w:eastAsia="方正黑体_GBK" w:hAnsi="方正黑体_GBK" w:cs="方正黑体_GBK" w:hint="eastAsia"/>
          <w:sz w:val="24"/>
        </w:rPr>
        <w:t>销售</w:t>
      </w:r>
      <w:r w:rsidRPr="00331088">
        <w:rPr>
          <w:rFonts w:ascii="方正黑体_GBK" w:eastAsia="方正黑体_GBK" w:hAnsi="方正黑体_GBK" w:cs="方正黑体_GBK" w:hint="eastAsia"/>
          <w:sz w:val="24"/>
        </w:rPr>
        <w:t>机构或本公司，</w:t>
      </w:r>
      <w:r w:rsidRPr="00331088">
        <w:rPr>
          <w:rFonts w:ascii="方正黑体_GBK" w:eastAsia="方正黑体_GBK" w:hAnsi="方正黑体_GBK" w:cs="方正黑体_GBK" w:hint="eastAsia"/>
          <w:sz w:val="24"/>
        </w:rPr>
        <w:t>我们</w:t>
      </w:r>
      <w:r w:rsidRPr="00331088">
        <w:rPr>
          <w:rFonts w:ascii="方正黑体_GBK" w:eastAsia="方正黑体_GBK" w:hAnsi="方正黑体_GBK" w:cs="方正黑体_GBK" w:hint="eastAsia"/>
          <w:sz w:val="24"/>
        </w:rPr>
        <w:t>将竭诚为您服务。</w:t>
      </w:r>
    </w:p>
    <w:p w:rsidR="009B4E9A" w:rsidRPr="00331088" w:rsidRDefault="00331088">
      <w:pPr>
        <w:ind w:firstLine="420"/>
        <w:rPr>
          <w:rFonts w:ascii="方正黑体_GBK" w:eastAsia="方正黑体_GBK" w:hAnsi="方正黑体_GBK" w:cs="方正黑体_GBK" w:hint="eastAsia"/>
          <w:sz w:val="24"/>
        </w:rPr>
      </w:pPr>
      <w:r w:rsidRPr="00331088">
        <w:rPr>
          <w:rFonts w:ascii="方正黑体_GBK" w:eastAsia="方正黑体_GBK" w:hAnsi="方正黑体_GBK" w:cs="方正黑体_GBK" w:hint="eastAsia"/>
          <w:sz w:val="24"/>
        </w:rPr>
        <w:t>感谢您一直以来的支持与信赖！</w:t>
      </w:r>
    </w:p>
    <w:p w:rsidR="009B4E9A" w:rsidRPr="00331088" w:rsidRDefault="00331088">
      <w:pPr>
        <w:ind w:firstLine="420"/>
        <w:rPr>
          <w:rFonts w:ascii="方正黑体_GBK" w:eastAsia="方正黑体_GBK" w:hAnsi="方正黑体_GBK" w:cs="方正黑体_GBK" w:hint="eastAsia"/>
          <w:sz w:val="24"/>
        </w:rPr>
      </w:pPr>
      <w:r w:rsidRPr="00331088">
        <w:rPr>
          <w:rFonts w:ascii="方正黑体_GBK" w:eastAsia="方正黑体_GBK" w:hAnsi="方正黑体_GBK" w:cs="方正黑体_GBK" w:hint="eastAsia"/>
          <w:sz w:val="24"/>
        </w:rPr>
        <w:t>特此公告。</w:t>
      </w:r>
    </w:p>
    <w:p w:rsidR="009B4E9A" w:rsidRPr="00331088" w:rsidRDefault="00331088">
      <w:pPr>
        <w:ind w:firstLine="420"/>
        <w:jc w:val="right"/>
        <w:rPr>
          <w:rFonts w:ascii="方正黑体_GBK" w:eastAsia="方正黑体_GBK" w:hAnsi="方正黑体_GBK" w:cs="方正黑体_GBK" w:hint="eastAsia"/>
          <w:sz w:val="24"/>
        </w:rPr>
      </w:pPr>
      <w:proofErr w:type="gramStart"/>
      <w:r w:rsidRPr="00331088">
        <w:rPr>
          <w:rFonts w:ascii="方正黑体_GBK" w:eastAsia="方正黑体_GBK" w:hAnsi="方正黑体_GBK" w:cs="方正黑体_GBK" w:hint="eastAsia"/>
          <w:sz w:val="24"/>
        </w:rPr>
        <w:t>南银理财</w:t>
      </w:r>
      <w:proofErr w:type="gramEnd"/>
      <w:r w:rsidRPr="00331088">
        <w:rPr>
          <w:rFonts w:ascii="方正黑体_GBK" w:eastAsia="方正黑体_GBK" w:hAnsi="方正黑体_GBK" w:cs="方正黑体_GBK" w:hint="eastAsia"/>
          <w:sz w:val="24"/>
        </w:rPr>
        <w:t>有限责任公司</w:t>
      </w:r>
    </w:p>
    <w:p w:rsidR="009B4E9A" w:rsidRPr="00331088" w:rsidRDefault="00331088">
      <w:pPr>
        <w:ind w:firstLine="420"/>
        <w:jc w:val="right"/>
        <w:rPr>
          <w:rFonts w:ascii="方正黑体_GBK" w:eastAsia="方正黑体_GBK" w:hAnsi="方正黑体_GBK" w:cs="方正黑体_GBK" w:hint="eastAsia"/>
          <w:sz w:val="24"/>
        </w:rPr>
      </w:pPr>
      <w:r w:rsidRPr="00331088">
        <w:rPr>
          <w:rFonts w:ascii="方正黑体_GBK" w:eastAsia="方正黑体_GBK" w:hAnsi="方正黑体_GBK" w:cs="方正黑体_GBK" w:hint="eastAsia"/>
          <w:sz w:val="24"/>
        </w:rPr>
        <w:t>202</w:t>
      </w:r>
      <w:r w:rsidRPr="00331088">
        <w:rPr>
          <w:rFonts w:ascii="方正黑体_GBK" w:eastAsia="方正黑体_GBK" w:hAnsi="方正黑体_GBK" w:cs="方正黑体_GBK" w:hint="eastAsia"/>
          <w:sz w:val="24"/>
        </w:rPr>
        <w:t>4</w:t>
      </w:r>
      <w:r w:rsidRPr="00331088">
        <w:rPr>
          <w:rFonts w:ascii="方正黑体_GBK" w:eastAsia="方正黑体_GBK" w:hAnsi="方正黑体_GBK" w:cs="方正黑体_GBK" w:hint="eastAsia"/>
          <w:sz w:val="24"/>
        </w:rPr>
        <w:t>年</w:t>
      </w:r>
      <w:r w:rsidRPr="00331088">
        <w:rPr>
          <w:rFonts w:ascii="方正黑体_GBK" w:eastAsia="方正黑体_GBK" w:hAnsi="方正黑体_GBK" w:cs="方正黑体_GBK" w:hint="eastAsia"/>
          <w:sz w:val="24"/>
        </w:rPr>
        <w:t>9</w:t>
      </w:r>
      <w:r w:rsidRPr="00331088">
        <w:rPr>
          <w:rFonts w:ascii="方正黑体_GBK" w:eastAsia="方正黑体_GBK" w:hAnsi="方正黑体_GBK" w:cs="方正黑体_GBK" w:hint="eastAsia"/>
          <w:sz w:val="24"/>
        </w:rPr>
        <w:t>月</w:t>
      </w:r>
      <w:r w:rsidRPr="00331088">
        <w:rPr>
          <w:rFonts w:ascii="方正黑体_GBK" w:eastAsia="方正黑体_GBK" w:hAnsi="方正黑体_GBK" w:cs="方正黑体_GBK" w:hint="eastAsia"/>
          <w:sz w:val="24"/>
        </w:rPr>
        <w:t>13</w:t>
      </w:r>
      <w:r w:rsidRPr="00331088">
        <w:rPr>
          <w:rFonts w:ascii="方正黑体_GBK" w:eastAsia="方正黑体_GBK" w:hAnsi="方正黑体_GBK" w:cs="方正黑体_GBK" w:hint="eastAsia"/>
          <w:sz w:val="24"/>
        </w:rPr>
        <w:t>日</w:t>
      </w:r>
    </w:p>
    <w:sectPr w:rsidR="009B4E9A" w:rsidRPr="003310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ZGZjZGI0NDAxNWRlYTU1MDQzODcxYWQzMWNkMWYifQ=="/>
  </w:docVars>
  <w:rsids>
    <w:rsidRoot w:val="00172A27"/>
    <w:rsid w:val="000B116D"/>
    <w:rsid w:val="000D47C0"/>
    <w:rsid w:val="0010350A"/>
    <w:rsid w:val="00141B77"/>
    <w:rsid w:val="00143E93"/>
    <w:rsid w:val="00172A27"/>
    <w:rsid w:val="002E06B8"/>
    <w:rsid w:val="00331088"/>
    <w:rsid w:val="00345495"/>
    <w:rsid w:val="004E61C2"/>
    <w:rsid w:val="00520B4F"/>
    <w:rsid w:val="00540312"/>
    <w:rsid w:val="005B2E63"/>
    <w:rsid w:val="00614091"/>
    <w:rsid w:val="00693870"/>
    <w:rsid w:val="006956DE"/>
    <w:rsid w:val="00716EE2"/>
    <w:rsid w:val="007A3BC2"/>
    <w:rsid w:val="007C15E8"/>
    <w:rsid w:val="00815684"/>
    <w:rsid w:val="00817A74"/>
    <w:rsid w:val="008255F5"/>
    <w:rsid w:val="0084156F"/>
    <w:rsid w:val="00914515"/>
    <w:rsid w:val="009B4E9A"/>
    <w:rsid w:val="009C5DC2"/>
    <w:rsid w:val="009E1FBB"/>
    <w:rsid w:val="00AE5399"/>
    <w:rsid w:val="00B25C46"/>
    <w:rsid w:val="00B45E07"/>
    <w:rsid w:val="00C032B8"/>
    <w:rsid w:val="00C63875"/>
    <w:rsid w:val="00CE22FD"/>
    <w:rsid w:val="00CE5832"/>
    <w:rsid w:val="00CF6344"/>
    <w:rsid w:val="00D46835"/>
    <w:rsid w:val="00D920FD"/>
    <w:rsid w:val="00DA7481"/>
    <w:rsid w:val="00E22FB5"/>
    <w:rsid w:val="00E25963"/>
    <w:rsid w:val="00E305D5"/>
    <w:rsid w:val="00E63108"/>
    <w:rsid w:val="00EB61C7"/>
    <w:rsid w:val="00F5371B"/>
    <w:rsid w:val="03CC00C8"/>
    <w:rsid w:val="05482502"/>
    <w:rsid w:val="06424EFE"/>
    <w:rsid w:val="065344DE"/>
    <w:rsid w:val="08495703"/>
    <w:rsid w:val="09511669"/>
    <w:rsid w:val="0B4F505C"/>
    <w:rsid w:val="0E8D7052"/>
    <w:rsid w:val="11185866"/>
    <w:rsid w:val="11195352"/>
    <w:rsid w:val="12C644CE"/>
    <w:rsid w:val="12ED368B"/>
    <w:rsid w:val="12FA4589"/>
    <w:rsid w:val="13CC27BC"/>
    <w:rsid w:val="14400082"/>
    <w:rsid w:val="14B956E3"/>
    <w:rsid w:val="14DF3057"/>
    <w:rsid w:val="151D2EB9"/>
    <w:rsid w:val="185B0B3B"/>
    <w:rsid w:val="1B2672F4"/>
    <w:rsid w:val="1BC13913"/>
    <w:rsid w:val="1C9E0F0F"/>
    <w:rsid w:val="1CE329C9"/>
    <w:rsid w:val="1FA55D69"/>
    <w:rsid w:val="2077191A"/>
    <w:rsid w:val="217660FF"/>
    <w:rsid w:val="22155872"/>
    <w:rsid w:val="237C6A67"/>
    <w:rsid w:val="244D5031"/>
    <w:rsid w:val="26404A45"/>
    <w:rsid w:val="269D79D3"/>
    <w:rsid w:val="288A56D2"/>
    <w:rsid w:val="2AF819D9"/>
    <w:rsid w:val="2B0943F8"/>
    <w:rsid w:val="2B2C5E79"/>
    <w:rsid w:val="2BC35330"/>
    <w:rsid w:val="2CE37ABA"/>
    <w:rsid w:val="2E7472D1"/>
    <w:rsid w:val="307B1078"/>
    <w:rsid w:val="3213175B"/>
    <w:rsid w:val="360F7DFC"/>
    <w:rsid w:val="363E586D"/>
    <w:rsid w:val="37726E1F"/>
    <w:rsid w:val="395A49DF"/>
    <w:rsid w:val="39B1266A"/>
    <w:rsid w:val="3AFF6A34"/>
    <w:rsid w:val="3B276116"/>
    <w:rsid w:val="3C281CA8"/>
    <w:rsid w:val="3C5D1AF8"/>
    <w:rsid w:val="3C806828"/>
    <w:rsid w:val="3D7967DF"/>
    <w:rsid w:val="3F0E0C7B"/>
    <w:rsid w:val="405A1CAC"/>
    <w:rsid w:val="4069216E"/>
    <w:rsid w:val="410C0110"/>
    <w:rsid w:val="438E2EF2"/>
    <w:rsid w:val="44511A9E"/>
    <w:rsid w:val="445913F0"/>
    <w:rsid w:val="452D6470"/>
    <w:rsid w:val="4552760B"/>
    <w:rsid w:val="465855EA"/>
    <w:rsid w:val="466900D1"/>
    <w:rsid w:val="46BD5FFF"/>
    <w:rsid w:val="46F53F15"/>
    <w:rsid w:val="491164B3"/>
    <w:rsid w:val="4A1A0AFD"/>
    <w:rsid w:val="4A424182"/>
    <w:rsid w:val="4ACD4267"/>
    <w:rsid w:val="4AE6615C"/>
    <w:rsid w:val="4B226EFD"/>
    <w:rsid w:val="4B385C6F"/>
    <w:rsid w:val="4C11776F"/>
    <w:rsid w:val="4D4D5B4E"/>
    <w:rsid w:val="4E15569D"/>
    <w:rsid w:val="4F0673A2"/>
    <w:rsid w:val="514800FA"/>
    <w:rsid w:val="527033B8"/>
    <w:rsid w:val="531D1627"/>
    <w:rsid w:val="58FF407B"/>
    <w:rsid w:val="5A0B433F"/>
    <w:rsid w:val="5B063EB2"/>
    <w:rsid w:val="5B1E7D3C"/>
    <w:rsid w:val="5BB35481"/>
    <w:rsid w:val="5CA644DC"/>
    <w:rsid w:val="5D107103"/>
    <w:rsid w:val="5D2D762B"/>
    <w:rsid w:val="5D7A33E9"/>
    <w:rsid w:val="5DFB460D"/>
    <w:rsid w:val="5E575A76"/>
    <w:rsid w:val="5E791A8D"/>
    <w:rsid w:val="6066313B"/>
    <w:rsid w:val="611F7D37"/>
    <w:rsid w:val="62213976"/>
    <w:rsid w:val="64C913FB"/>
    <w:rsid w:val="66B95B6F"/>
    <w:rsid w:val="66F86621"/>
    <w:rsid w:val="69B93A27"/>
    <w:rsid w:val="69E06836"/>
    <w:rsid w:val="6B4060BF"/>
    <w:rsid w:val="6B7658B3"/>
    <w:rsid w:val="6BCB670E"/>
    <w:rsid w:val="6C055395"/>
    <w:rsid w:val="6CB121FC"/>
    <w:rsid w:val="6DF224AA"/>
    <w:rsid w:val="6F4D4C8B"/>
    <w:rsid w:val="6FE11AF9"/>
    <w:rsid w:val="727E02EB"/>
    <w:rsid w:val="73D74382"/>
    <w:rsid w:val="73FD3121"/>
    <w:rsid w:val="751874E6"/>
    <w:rsid w:val="75231B84"/>
    <w:rsid w:val="759538FB"/>
    <w:rsid w:val="774150D6"/>
    <w:rsid w:val="776E7761"/>
    <w:rsid w:val="786100F9"/>
    <w:rsid w:val="79147CC5"/>
    <w:rsid w:val="7AAB2866"/>
    <w:rsid w:val="7B1B79EC"/>
    <w:rsid w:val="7B664A27"/>
    <w:rsid w:val="7C58393C"/>
    <w:rsid w:val="7D1F2D8B"/>
    <w:rsid w:val="7E7323DB"/>
    <w:rsid w:val="7ECE1F2B"/>
    <w:rsid w:val="7F8411E4"/>
    <w:rsid w:val="7F8A34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6C9892-07E9-4345-A838-B5CD9973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unhideWhenUsed="1"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2" w:after="102" w:line="1099" w:lineRule="atLeast"/>
      <w:ind w:firstLine="419"/>
      <w:jc w:val="left"/>
      <w:textAlignment w:val="baseline"/>
    </w:pPr>
    <w:rPr>
      <w:color w:val="000000"/>
      <w:kern w:val="0"/>
      <w:sz w:val="24"/>
      <w:u w:color="000000"/>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6"/>
    <w:qFormat/>
    <w:rPr>
      <w:kern w:val="2"/>
      <w:sz w:val="18"/>
      <w:szCs w:val="18"/>
    </w:rPr>
  </w:style>
  <w:style w:type="character" w:customStyle="1" w:styleId="Char0">
    <w:name w:val="页脚 Char"/>
    <w:basedOn w:val="a1"/>
    <w:link w:val="a5"/>
    <w:qFormat/>
    <w:rPr>
      <w:kern w:val="2"/>
      <w:sz w:val="18"/>
      <w:szCs w:val="18"/>
    </w:rPr>
  </w:style>
  <w:style w:type="character" w:customStyle="1" w:styleId="Char">
    <w:name w:val="批注框文本 Char"/>
    <w:basedOn w:val="a1"/>
    <w:link w:val="a4"/>
    <w:qFormat/>
    <w:rPr>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DefaultParagraphFont156d89ed156d89ed">
    <w:name w:val="Default Paragraph Font156d89ed156d89ed"/>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412</Words>
  <Characters>2354</Characters>
  <Application>Microsoft Office Word</Application>
  <DocSecurity>0</DocSecurity>
  <Lines>19</Lines>
  <Paragraphs>5</Paragraphs>
  <ScaleCrop>false</ScaleCrop>
  <Company>Microsoft</Company>
  <LinksUpToDate>false</LinksUpToDate>
  <CharactersWithSpaces>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钱哲贤</dc:creator>
  <cp:lastModifiedBy>Administrator</cp:lastModifiedBy>
  <cp:revision>12</cp:revision>
  <cp:lastPrinted>2022-07-06T07:45:00Z</cp:lastPrinted>
  <dcterms:created xsi:type="dcterms:W3CDTF">2022-06-13T10:07:00Z</dcterms:created>
  <dcterms:modified xsi:type="dcterms:W3CDTF">2024-09-11T07:21:00Z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74706A12816C4CEC834E0B9010105107_13</vt:lpwstr>
  </property>
  <property fmtid="{D5CDD505-2E9C-101B-9397-08002B2CF9AE}" pid="4" name="_KSOProductBuildMID">
    <vt:lpwstr>CVWFI6GD79TA069GQYR80LJM7NNMO7GREJ0XFJDWXFM8TECTZIBJICJTFYYHPB6RXOM6OOLKZH5D8INJRUFTDFFZ89CMWHCBAEOOIHB3A979A6DA80E35B588328ED6EDAEB8DE8</vt:lpwstr>
  </property>
  <property fmtid="{D5CDD505-2E9C-101B-9397-08002B2CF9AE}" pid="5" name="_KSOProductBuildSID">
    <vt:lpwstr>A3AAA990A28743BEAC0913D24657D23D</vt:lpwstr>
  </property>
</Properties>
</file>