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QWMD6GD79TA059GQPR8PL0J7NNMOXGREX0XNJDWXFM8TQWTZRBRVCJWFY9HP86RXSM6OOLYZI678MXJQNFTRFF689EMWIWBAOOOYHB38131CBFC8767CEFF024A538A6ACC9401" Type="http://schemas.microsoft.com/office/2006/relationships/officeDocumentMain" Target="docProps/core.xml"/><Relationship Id="SAWFP6BA796A00TGQKR8IL0C7NLMOSGR9E0XFJDWXFG8TGLT6DBJICJUFY9TP88RBXMXLOLSZI678LXJEFFAQF8D8RFMWLCB8UOODHB38410D36497C4B51E8AEF3A28DD001EB7"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4AA70">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0222FD29">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3A6B47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定期开放式、固定收益类、公募、净值型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406110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0DD2A4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2E63C5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1A76CB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17EFA7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726B9C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198AC8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5C9617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5E7F59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1139BB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386547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38D28F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0DC229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30170D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137E12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205EE9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6ADB69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3D99EE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279FD6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33A405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5C5087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1065A1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0944B0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2F3882A0">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7A41CBD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2039E739">
      <w:pPr>
        <w:spacing w:line="200" w:lineRule="exact"/>
      </w:pPr>
      <w:r>
        <w:rPr>
          <w:rFonts w:ascii="方正黑体_GBK" w:hAnsi="方正黑体_GBK" w:eastAsia="方正黑体_GBK" w:cs="宋体"/>
          <w:b/>
          <w:sz w:val="13"/>
          <w:szCs w:val="20"/>
        </w:rPr>
        <w:t xml:space="preserve">    1.债券类资产投资风险</w:t>
      </w:r>
    </w:p>
    <w:p w14:paraId="746ED2F6">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28A3EE9D">
      <w:pPr>
        <w:spacing w:line="200" w:lineRule="exact"/>
      </w:pPr>
      <w:r>
        <w:rPr>
          <w:rFonts w:ascii="方正黑体_GBK" w:hAnsi="方正黑体_GBK" w:eastAsia="方正黑体_GBK" w:cs="宋体"/>
          <w:b/>
          <w:sz w:val="13"/>
          <w:szCs w:val="20"/>
        </w:rPr>
        <w:t xml:space="preserve">    2.非标准化债权类资产投资风险</w:t>
      </w:r>
    </w:p>
    <w:p w14:paraId="208B6B5E">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47D99564">
      <w:pPr>
        <w:spacing w:line="200" w:lineRule="exact"/>
      </w:pPr>
      <w:r>
        <w:rPr>
          <w:rFonts w:ascii="方正黑体_GBK" w:hAnsi="方正黑体_GBK" w:eastAsia="方正黑体_GBK" w:cs="宋体"/>
          <w:b/>
          <w:sz w:val="13"/>
          <w:szCs w:val="20"/>
        </w:rPr>
        <w:t xml:space="preserve">    3.资产管理产品投资风险</w:t>
      </w:r>
    </w:p>
    <w:p w14:paraId="07D5CFB4">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6435B76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类型：定期开放式、固定收益类、公募、净值型。</w:t>
      </w:r>
    </w:p>
    <w:p w14:paraId="68B2E2A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10年</w:t>
      </w:r>
      <w:r>
        <w:rPr>
          <w:rFonts w:hint="eastAsia" w:ascii="方正黑体_GBK" w:hAnsi="方正黑体_GBK" w:eastAsia="方正黑体_GBK" w:cs="Times New Roman"/>
          <w:b/>
          <w:bCs w:val="0"/>
          <w:vanish w:val="0"/>
          <w:color w:val="3D3D3D"/>
          <w:kern w:val="0"/>
          <w:sz w:val="13"/>
          <w:szCs w:val="13"/>
        </w:rPr>
        <w:t>（若本理财产品被提前终止或延期终止，以实际到期日计算持有天数）</w:t>
      </w:r>
      <w:r>
        <w:rPr>
          <w:rFonts w:hint="eastAsia" w:ascii="方正黑体_GBK" w:hAnsi="方正黑体_GBK" w:eastAsia="方正黑体_GBK"/>
          <w:b/>
          <w:bCs w:val="0"/>
          <w:vanish w:val="0"/>
          <w:color w:val="3D3D3D"/>
          <w:kern w:val="0"/>
          <w:sz w:val="13"/>
          <w:szCs w:val="13"/>
        </w:rPr>
        <w:t>。</w:t>
      </w:r>
    </w:p>
    <w:p w14:paraId="73240FF9">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24D9CE8D">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4CC4BAF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6675590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74AC49B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693159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6F3EAD2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3C53CD9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0C73476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06C53114">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5BE6E2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5114CB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03021A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31ED6BAA">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7787F9DA">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68D650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0131DB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7DA9E467">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7400F6FF">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70A698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6E2850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1D5BDC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6E491C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685DCD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420000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1BED2E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455D7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769723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1D425F8C">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34B3F3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6C0ABC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071B22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7DBB67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730020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34C678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1AB35B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57FE2B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0B74E7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397F84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0A8250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7CCD72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2E2BD4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69FBC6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59AB3EAE">
      <w:r>
        <w:rPr>
          <w:rFonts w:ascii="方正黑体_GBK" w:hAnsi="方正黑体_GBK" w:eastAsia="方正黑体_GBK"/>
        </w:rPr>
        <w:br w:type="page"/>
      </w:r>
    </w:p>
    <w:p w14:paraId="7B837E1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6C87DF2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09E05FBC">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1982B8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1895AC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2A955B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南银理财珠联璧合行稳一年定开10M公募人民币理财产品</w:t>
            </w:r>
          </w:p>
        </w:tc>
      </w:tr>
      <w:tr w14:paraId="3E1E7A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26FAC3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521319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定期开放式、固定收益类、公募、净值型</w:t>
            </w:r>
          </w:p>
        </w:tc>
      </w:tr>
      <w:tr w14:paraId="5C4711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513714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6AC2BA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5C2788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60A00D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44D580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ZC108691844553</w:t>
            </w:r>
          </w:p>
        </w:tc>
      </w:tr>
      <w:tr w14:paraId="151A46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8D8B4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0EEAA7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Z7003221000036(投资者可依据该编码在中国理财网www.chinawealth.com.cn查询理财产品相关信息）</w:t>
            </w:r>
          </w:p>
        </w:tc>
      </w:tr>
      <w:tr w14:paraId="3FF144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A5671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6C1CE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center"/>
              <w:outlineLvl w:val="9"/>
              <w:rPr>
                <w:rFonts w:ascii="方正黑体_GBK" w:hAnsi="方正黑体_GBK" w:eastAsia="方正黑体_GBK"/>
                <w:caps w:val="0"/>
                <w:smallCaps w:val="0"/>
                <w:snapToGrid/>
                <w:vanish w:val="0"/>
                <w:color w:val="auto"/>
                <w:kern w:val="2"/>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Z10019</w:t>
            </w:r>
          </w:p>
        </w:tc>
      </w:tr>
      <w:tr w14:paraId="129A59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0241A0">
            <w:pPr>
              <w:keepNext w:val="0"/>
              <w:keepLines w:val="0"/>
              <w:pageBreakBefore w:val="0"/>
              <w:widowControl/>
              <w:suppressLineNumbers w:val="0"/>
              <w:suppressAutoHyphens w:val="0"/>
              <w:spacing w:line="200" w:lineRule="exact"/>
              <w:ind w:left="0" w:firstLine="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理财期限</w:t>
            </w:r>
          </w:p>
        </w:tc>
        <w:tc>
          <w:tcPr>
            <w:tcW w:w="5543" w:type="dxa"/>
            <w:tcBorders>
              <w:top w:val="single" w:color="auto" w:sz="4" w:space="0"/>
              <w:left w:val="nil"/>
              <w:bottom w:val="single" w:color="auto" w:sz="4" w:space="0"/>
              <w:right w:val="single" w:color="auto" w:sz="4" w:space="0"/>
              <w:tl2br w:val="nil"/>
              <w:tr2bl w:val="nil"/>
            </w:tcBorders>
            <w:vAlign w:val="center"/>
          </w:tcPr>
          <w:p w14:paraId="0A9EA789">
            <w:pPr>
              <w:keepNext w:val="0"/>
              <w:keepLines w:val="0"/>
              <w:pageBreakBefore w:val="0"/>
              <w:widowControl/>
              <w:suppressLineNumbers w:val="0"/>
              <w:suppressAutoHyphens w:val="0"/>
              <w:spacing w:line="200" w:lineRule="exact"/>
              <w:jc w:val="left"/>
              <w:textAlignment w:val="center"/>
              <w:rPr>
                <w:rFonts w:ascii="方正黑体_GBK" w:hAnsi="方正黑体_GBK" w:eastAsia="方正黑体_GBK"/>
                <w:sz w:val="18"/>
                <w:szCs w:val="18"/>
              </w:rPr>
            </w:pPr>
            <w:r>
              <w:rPr>
                <w:rFonts w:hint="eastAsia" w:ascii="方正黑体_GBK" w:hAnsi="方正黑体_GBK" w:eastAsia="方正黑体_GBK"/>
                <w:kern w:val="0"/>
                <w:sz w:val="18"/>
                <w:szCs w:val="18"/>
              </w:rPr>
              <w:t>10年（管理人有权提前终止或延期终止）</w:t>
            </w:r>
          </w:p>
        </w:tc>
      </w:tr>
      <w:tr w14:paraId="3F5AED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591C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2CA1D0D0">
            <w:pPr>
              <w:spacing w:line="200" w:lineRule="exact"/>
            </w:pPr>
            <w:r>
              <w:rPr>
                <w:rFonts w:ascii="方正黑体_GBK" w:hAnsi="方正黑体_GBK" w:eastAsia="方正黑体_GBK" w:cs="宋体"/>
                <w:sz w:val="18"/>
                <w:szCs w:val="18"/>
              </w:rPr>
              <w:t>全国</w:t>
            </w:r>
          </w:p>
        </w:tc>
      </w:tr>
      <w:tr w14:paraId="2FBF1F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2FB1A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18A714D6">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5CE4A8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FBE26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7813FA32">
            <w:pPr>
              <w:spacing w:line="200" w:lineRule="exact"/>
            </w:pPr>
            <w:r>
              <w:rPr>
                <w:rFonts w:ascii="方正黑体_GBK" w:hAnsi="方正黑体_GBK" w:eastAsia="方正黑体_GBK" w:cs="宋体"/>
                <w:sz w:val="18"/>
                <w:szCs w:val="18"/>
              </w:rPr>
              <w:t>本理财产品规模上限为200亿元。理财产品管理人有权对上述规模上限根据实际业务需求进行调整。</w:t>
            </w:r>
          </w:p>
        </w:tc>
      </w:tr>
      <w:tr w14:paraId="55C010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D5C51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3929DB0A">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41319FC6">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73330B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5E7B4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0B8719BD">
            <w:pPr>
              <w:spacing w:line="200" w:lineRule="exact"/>
            </w:pPr>
            <w:r>
              <w:rPr>
                <w:rFonts w:ascii="方正黑体_GBK" w:hAnsi="方正黑体_GBK" w:eastAsia="方正黑体_GBK" w:cs="宋体"/>
                <w:color w:val="000000"/>
                <w:sz w:val="18"/>
                <w:szCs w:val="18"/>
              </w:rPr>
              <w:t>符合相关法律法规、监管规定要求的，经销售机构的风险承受能力评估体系评定为适合的个人和机构投资者。</w:t>
            </w:r>
          </w:p>
        </w:tc>
      </w:tr>
      <w:tr w14:paraId="519898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7E654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0D596AD1">
            <w:pPr>
              <w:spacing w:line="200" w:lineRule="exact"/>
            </w:pPr>
            <w:r>
              <w:rPr>
                <w:rFonts w:ascii="方正黑体_GBK" w:hAnsi="方正黑体_GBK" w:eastAsia="方正黑体_GBK" w:cs="宋体"/>
                <w:sz w:val="18"/>
                <w:szCs w:val="18"/>
              </w:rPr>
              <w:t>个人投资者投资起点金额1元人民币，以1元的整数倍递增；</w:t>
            </w:r>
          </w:p>
          <w:p w14:paraId="79A2F664">
            <w:pPr>
              <w:spacing w:line="200" w:lineRule="exact"/>
            </w:pPr>
            <w:r>
              <w:rPr>
                <w:rFonts w:ascii="方正黑体_GBK" w:hAnsi="方正黑体_GBK" w:eastAsia="方正黑体_GBK" w:cs="宋体"/>
                <w:sz w:val="18"/>
                <w:szCs w:val="18"/>
              </w:rPr>
              <w:t>机构投资者投资起点金额1元人民币，以1元的整数倍递增；</w:t>
            </w:r>
          </w:p>
          <w:p w14:paraId="30C811B7">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后续在符合监管政策规定的条件下，理财产品管理人有权对上述投资起点金额和递增金额进行调整，并进行信息披露。</w:t>
            </w:r>
          </w:p>
          <w:p w14:paraId="5BB73EED">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3EBCA5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36F6C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108610AC">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78F822DF">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606A46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D8A01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0939E85A">
            <w:pPr>
              <w:spacing w:line="200" w:lineRule="exact"/>
            </w:pPr>
            <w:r>
              <w:rPr>
                <w:rFonts w:ascii="方正黑体_GBK" w:hAnsi="方正黑体_GBK" w:eastAsia="方正黑体_GBK" w:cs="宋体"/>
                <w:color w:val="000000"/>
                <w:sz w:val="18"/>
                <w:szCs w:val="18"/>
              </w:rPr>
              <w:t>2018年10月29日 09:00—2018年11月01日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79DC10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EB57870">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54374BB2">
            <w:pPr>
              <w:spacing w:line="200" w:lineRule="exact"/>
            </w:pPr>
            <w:r>
              <w:rPr>
                <w:rFonts w:ascii="方正黑体_GBK" w:hAnsi="方正黑体_GBK" w:eastAsia="方正黑体_GBK" w:cs="宋体"/>
                <w:sz w:val="18"/>
                <w:szCs w:val="18"/>
              </w:rPr>
              <w:t>认购份额=确认认购金额/1。（认购份额以去尾法保留两位小数）</w:t>
            </w:r>
          </w:p>
        </w:tc>
      </w:tr>
      <w:tr w14:paraId="6434C9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F92E3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理财封闭期</w:t>
            </w:r>
          </w:p>
        </w:tc>
        <w:tc>
          <w:tcPr>
            <w:tcW w:w="5543" w:type="dxa"/>
            <w:tcBorders>
              <w:top w:val="single" w:color="auto" w:sz="4" w:space="0"/>
              <w:left w:val="nil"/>
              <w:bottom w:val="single" w:color="auto" w:sz="4" w:space="0"/>
              <w:right w:val="single" w:color="auto" w:sz="4" w:space="0"/>
              <w:tl2br w:val="nil"/>
              <w:tr2bl w:val="nil"/>
            </w:tcBorders>
            <w:vAlign w:val="center"/>
          </w:tcPr>
          <w:p w14:paraId="2D3210FE">
            <w:pPr>
              <w:spacing w:line="200" w:lineRule="exact"/>
            </w:pPr>
            <w:r>
              <w:rPr>
                <w:rFonts w:ascii="方正黑体_GBK" w:hAnsi="方正黑体_GBK" w:eastAsia="方正黑体_GBK"/>
                <w:sz w:val="18"/>
                <w:szCs w:val="18"/>
              </w:rPr>
              <w:t>本理财产品每期封闭期为一年，当期封闭期起止时间以公告为准。</w:t>
            </w:r>
          </w:p>
        </w:tc>
      </w:tr>
      <w:tr w14:paraId="75CFDD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4EEF6E1">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33EC2332">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2C56E0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B7F3A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41FFB896">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2018年11月02日</w:t>
            </w:r>
          </w:p>
        </w:tc>
      </w:tr>
      <w:tr w14:paraId="095CBF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47AEE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3C65A1BA">
            <w:pPr>
              <w:spacing w:line="200" w:lineRule="exact"/>
            </w:pPr>
            <w:r>
              <w:rPr>
                <w:rFonts w:ascii="方正黑体_GBK" w:hAnsi="方正黑体_GBK" w:eastAsia="方正黑体_GBK" w:cs="宋体"/>
                <w:sz w:val="18"/>
                <w:szCs w:val="18"/>
              </w:rPr>
              <w:t>2018年11月02日—实际到期日（若本理财产品未被提前终止或延期终止，则实际到期日即为名义到期日，存续期限10年；若本理财产品被提前终止或延期终止，则实际到期日为提前终止日或延期终止日。</w:t>
            </w:r>
            <w:r>
              <w:rPr>
                <w:rFonts w:ascii="方正黑体_GBK" w:hAnsi="方正黑体_GBK" w:eastAsia="方正黑体_GBK" w:cs="宋体"/>
                <w:b/>
                <w:sz w:val="18"/>
                <w:szCs w:val="18"/>
              </w:rPr>
              <w:t>理财产品管理人有权根据市场变化情况调整产品存续期，届时管理人将调整相关日期并进行信息披露。）</w:t>
            </w:r>
          </w:p>
        </w:tc>
      </w:tr>
      <w:tr w14:paraId="0E900C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4BF3A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5DB4FB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2028年12月27日</w:t>
            </w:r>
            <w:r>
              <w:rPr>
                <w:rFonts w:hint="eastAsia" w:ascii="方正黑体_GBK" w:hAnsi="方正黑体_GBK" w:eastAsia="方正黑体_GBK" w:cs="Times New Roman"/>
                <w:b/>
                <w:bCs/>
                <w:caps w:val="0"/>
                <w:smallCaps w:val="0"/>
                <w:snapToGrid/>
                <w:vanish w:val="0"/>
                <w:color w:val="auto"/>
                <w:kern w:val="0"/>
                <w:sz w:val="18"/>
                <w:szCs w:val="18"/>
                <w:vertAlign w:val="baseline"/>
              </w:rPr>
              <w:t>（如遇国家法定节假日，管理人可结合国家法定节假日安排进行调整，并进行</w:t>
            </w:r>
            <w:r>
              <w:rPr>
                <w:rFonts w:hint="eastAsia" w:ascii="方正黑体_GBK" w:hAnsi="方正黑体_GBK" w:eastAsia="方正黑体_GBK"/>
                <w:b/>
                <w:bCs/>
                <w:caps w:val="0"/>
                <w:smallCaps w:val="0"/>
                <w:snapToGrid/>
                <w:vanish w:val="0"/>
                <w:color w:val="auto"/>
                <w:kern w:val="0"/>
                <w:sz w:val="18"/>
                <w:szCs w:val="18"/>
                <w:vertAlign w:val="baseline"/>
              </w:rPr>
              <w:t>信息披露</w:t>
            </w:r>
            <w:r>
              <w:rPr>
                <w:rFonts w:hint="eastAsia" w:ascii="方正黑体_GBK" w:hAnsi="方正黑体_GBK" w:eastAsia="方正黑体_GBK" w:cs="Times New Roman"/>
                <w:b/>
                <w:bCs/>
                <w:caps w:val="0"/>
                <w:smallCaps w:val="0"/>
                <w:snapToGrid/>
                <w:vanish w:val="0"/>
                <w:color w:val="auto"/>
                <w:kern w:val="0"/>
                <w:sz w:val="18"/>
                <w:szCs w:val="18"/>
                <w:vertAlign w:val="baseline"/>
              </w:rPr>
              <w:t>）</w:t>
            </w:r>
          </w:p>
        </w:tc>
      </w:tr>
      <w:tr w14:paraId="175BD7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DB8E8FF">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78AA14E3">
            <w:pPr>
              <w:spacing w:line="200" w:lineRule="exact"/>
            </w:pPr>
            <w:r>
              <w:rPr>
                <w:rFonts w:ascii="方正黑体_GBK" w:hAnsi="方正黑体_GBK" w:eastAsia="方正黑体_GBK" w:cs="宋体"/>
                <w:sz w:val="18"/>
                <w:szCs w:val="18"/>
              </w:rPr>
              <w:t>本理财产品存续期内按每一年开放申购，如遇节假日调整，申购开放日和申购确认日以公告为准。</w:t>
            </w:r>
          </w:p>
        </w:tc>
      </w:tr>
      <w:tr w14:paraId="63D576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6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31D63E6">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赎回开放日和确认日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66F5B20E">
            <w:pPr>
              <w:spacing w:line="200" w:lineRule="exact"/>
            </w:pPr>
            <w:r>
              <w:rPr>
                <w:rFonts w:ascii="方正黑体_GBK" w:hAnsi="方正黑体_GBK" w:eastAsia="方正黑体_GBK" w:cs="宋体"/>
                <w:sz w:val="18"/>
                <w:szCs w:val="18"/>
              </w:rPr>
              <w:t>本理财产品存续期内按每一年开放赎回，如遇节假日调整，赎回开放日和赎回确认日以公告为准，投资者可提交赎回申请，系统不自动赎回。产品终止时，产品将对所有份额进行强制赎回。</w:t>
            </w:r>
          </w:p>
        </w:tc>
      </w:tr>
      <w:tr w14:paraId="474E37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16E76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申购/赎回时间</w:t>
            </w:r>
          </w:p>
        </w:tc>
        <w:tc>
          <w:tcPr>
            <w:tcW w:w="5543" w:type="dxa"/>
            <w:tcBorders>
              <w:top w:val="single" w:color="auto" w:sz="4" w:space="0"/>
              <w:left w:val="nil"/>
              <w:bottom w:val="single" w:color="auto" w:sz="4" w:space="0"/>
              <w:right w:val="single" w:color="auto" w:sz="4" w:space="0"/>
              <w:tl2br w:val="nil"/>
              <w:tr2bl w:val="nil"/>
            </w:tcBorders>
            <w:vAlign w:val="center"/>
          </w:tcPr>
          <w:p w14:paraId="0EEDAE72">
            <w:pPr>
              <w:spacing w:line="200" w:lineRule="exact"/>
              <w:jc w:val="left"/>
            </w:pPr>
            <w:r>
              <w:rPr>
                <w:rFonts w:ascii="方正黑体_GBK" w:hAnsi="方正黑体_GBK" w:eastAsia="方正黑体_GBK" w:cs="宋体"/>
                <w:sz w:val="18"/>
                <w:szCs w:val="18"/>
              </w:rPr>
              <w:t>申购时间：申购开放期首日9：00-申购开放期末日17：00。</w:t>
            </w:r>
          </w:p>
          <w:p w14:paraId="772DF986">
            <w:pPr>
              <w:spacing w:line="200" w:lineRule="exact"/>
              <w:jc w:val="left"/>
            </w:pPr>
            <w:r>
              <w:rPr>
                <w:rFonts w:ascii="方正黑体_GBK" w:hAnsi="方正黑体_GBK" w:eastAsia="方正黑体_GBK" w:cs="宋体"/>
                <w:sz w:val="18"/>
                <w:szCs w:val="18"/>
              </w:rPr>
              <w:t>赎回时间：赎回开放期首日9：00-赎回开放期末日17：00。</w:t>
            </w:r>
          </w:p>
          <w:p w14:paraId="31E5669A">
            <w:pPr>
              <w:spacing w:line="200" w:lineRule="exact"/>
              <w:jc w:val="left"/>
            </w:pPr>
            <w:r>
              <w:rPr>
                <w:rFonts w:ascii="方正黑体_GBK" w:hAnsi="方正黑体_GBK" w:eastAsia="方正黑体_GBK" w:cs="宋体"/>
                <w:sz w:val="18"/>
                <w:szCs w:val="18"/>
              </w:rPr>
              <w:t>申购/赎回开放日和确认日另行公告。</w:t>
            </w:r>
          </w:p>
          <w:p w14:paraId="2A68DD06">
            <w:pPr>
              <w:spacing w:line="200" w:lineRule="exact"/>
            </w:pPr>
            <w:r>
              <w:rPr>
                <w:rFonts w:ascii="方正黑体_GBK" w:hAnsi="方正黑体_GBK" w:eastAsia="方正黑体_GBK" w:cs="宋体"/>
                <w:sz w:val="18"/>
                <w:szCs w:val="18"/>
              </w:rPr>
              <w:t>在销售机构支持的前提下，申购/赎回开放期末日17:00前可以撤销申购/赎回申请。</w:t>
            </w:r>
          </w:p>
          <w:p w14:paraId="3F175093">
            <w:pPr>
              <w:spacing w:line="200" w:lineRule="exact"/>
            </w:pPr>
            <w:r>
              <w:rPr>
                <w:rFonts w:ascii="方正黑体_GBK" w:hAnsi="方正黑体_GBK" w:eastAsia="方正黑体_GBK" w:cs="宋体"/>
                <w:sz w:val="18"/>
                <w:szCs w:val="18"/>
              </w:rPr>
              <w:t>代销机构可根据其销售需要在管理人设定的申购/赎回时间范围内对申购/赎回时间进行重新设定，投资者通过代销机构购买本理财产品的，以该代销机构最终披露的时间为准。</w:t>
            </w:r>
          </w:p>
        </w:tc>
      </w:tr>
      <w:tr w14:paraId="5C3E88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8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569324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w:t>
            </w:r>
            <w:r>
              <w:rPr>
                <w:rFonts w:hint="eastAsia" w:ascii="方正黑体_GBK" w:hAnsi="方正黑体_GBK" w:eastAsia="方正黑体_GBK"/>
                <w:caps w:val="0"/>
                <w:smallCaps w:val="0"/>
                <w:snapToGrid/>
                <w:vanish w:val="0"/>
                <w:color w:val="auto"/>
                <w:kern w:val="0"/>
                <w:sz w:val="18"/>
                <w:szCs w:val="18"/>
                <w:vertAlign w:val="baseline"/>
              </w:rPr>
              <w:t>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31F80B02">
            <w:pPr>
              <w:spacing w:line="200" w:lineRule="exact"/>
            </w:pPr>
            <w:r>
              <w:rPr>
                <w:rFonts w:ascii="方正黑体_GBK" w:hAnsi="方正黑体_GBK" w:eastAsia="方正黑体_GBK" w:cs="宋体"/>
                <w:sz w:val="18"/>
                <w:szCs w:val="18"/>
              </w:rPr>
              <w:t>申购份额=确认申购金额/S。S为申购确认日理财产品单位净值（已扣除相关费用）。申购份额以去尾法保留两位小数。</w:t>
            </w:r>
          </w:p>
        </w:tc>
      </w:tr>
      <w:tr w14:paraId="2F6FD7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D9E9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赎回金额计算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57232C76">
            <w:pPr>
              <w:spacing w:line="200" w:lineRule="exact"/>
            </w:pPr>
            <w:r>
              <w:rPr>
                <w:rFonts w:ascii="方正黑体_GBK" w:hAnsi="方正黑体_GBK" w:eastAsia="方正黑体_GBK" w:cs="宋体"/>
                <w:sz w:val="18"/>
                <w:szCs w:val="18"/>
              </w:rPr>
              <w:t>赎回金额=确认赎回份额×R。R为赎回确认日理财产品单位净值（已扣除相关费用）。赎回金额以去尾法保留两位小数。</w:t>
            </w:r>
          </w:p>
        </w:tc>
      </w:tr>
      <w:tr w14:paraId="4C3CDB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D2F83D9">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71880DED">
            <w:pPr>
              <w:spacing w:line="200" w:lineRule="exact"/>
            </w:pPr>
            <w:r>
              <w:rPr>
                <w:rFonts w:ascii="方正黑体_GBK" w:hAnsi="方正黑体_GBK" w:eastAsia="方正黑体_GBK" w:cs="宋体"/>
                <w:color w:val="000000"/>
                <w:sz w:val="18"/>
                <w:szCs w:val="18"/>
              </w:rPr>
              <w:t>到期兑付金额=到期时持有份额×P。 P为期末理财产品单位净值。（已扣除相关费用，到期兑付金额以去尾法保留两位小数）</w:t>
            </w:r>
          </w:p>
        </w:tc>
      </w:tr>
      <w:tr w14:paraId="0CC33F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D5F5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1537951A">
            <w:pPr>
              <w:spacing w:line="200" w:lineRule="exact"/>
            </w:pPr>
            <w:r>
              <w:rPr>
                <w:rFonts w:ascii="方正黑体_GBK" w:hAnsi="方正黑体_GBK" w:eastAsia="方正黑体_GBK" w:cs="宋体"/>
                <w:sz w:val="18"/>
                <w:szCs w:val="18"/>
              </w:rPr>
              <w:t>当理财产品单位净值不低于1时，管理人可以根据实际情况进行收益分配，分配方式为现金分红，具体分配方案以信息披露为准（分配后理财产品净值不低于1）。</w:t>
            </w:r>
          </w:p>
          <w:p w14:paraId="43F68C39">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52BB92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BA152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1E87679F">
            <w:pPr>
              <w:spacing w:line="200" w:lineRule="exact"/>
              <w:jc w:val="left"/>
            </w:pPr>
            <w:r>
              <w:rPr>
                <w:rFonts w:ascii="方正黑体_GBK" w:hAnsi="方正黑体_GBK" w:eastAsia="方正黑体_GBK"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14:paraId="61BC92F0">
            <w:pPr>
              <w:spacing w:line="200" w:lineRule="exact"/>
              <w:jc w:val="left"/>
            </w:pPr>
            <w:r>
              <w:rPr>
                <w:rFonts w:ascii="方正黑体_GBK" w:hAnsi="方正黑体_GBK" w:eastAsia="方正黑体_GBK" w:cs="宋体"/>
                <w:sz w:val="18"/>
                <w:szCs w:val="18"/>
              </w:rPr>
              <w:t>分红权益登记日指管理人确认投资者所持份额是否享受本次分红的日期。</w:t>
            </w:r>
          </w:p>
        </w:tc>
      </w:tr>
      <w:tr w14:paraId="322F18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DC303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1CCCCA49">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633897B7">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5E85ECF4">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2921D0FE">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60523472">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78E9B0FA">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2859AD08">
            <w:pPr>
              <w:spacing w:line="200" w:lineRule="exact"/>
              <w:jc w:val="lef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3E6E6B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33637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0AB12235">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11EF2935">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4BD474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F1F924">
            <w:pPr>
              <w:shd w:val="clear" w:color="auto" w:fill="auto"/>
              <w:spacing w:line="200" w:lineRule="exact"/>
              <w:jc w:val="left"/>
              <w:rPr>
                <w:rFonts w:ascii="方正黑体_GBK" w:hAnsi="方正黑体_GBK" w:eastAsia="方正黑体_GBK" w:cs="宋体"/>
                <w:b w:val="0"/>
                <w:i w:val="0"/>
                <w:caps w:val="0"/>
                <w:smallCaps w:val="0"/>
                <w:strike w:val="0"/>
                <w:dstrike w:val="0"/>
                <w:vanish w:val="0"/>
                <w:sz w:val="18"/>
                <w:szCs w:val="18"/>
              </w:rPr>
            </w:pPr>
            <w:r>
              <w:rPr>
                <w:rFonts w:hint="eastAsia" w:ascii="方正黑体_GBK" w:hAnsi="方正黑体_GBK" w:eastAsia="方正黑体_GBK" w:cs="宋体"/>
                <w:b w:val="0"/>
                <w:i w:val="0"/>
                <w:caps w:val="0"/>
                <w:smallCaps w:val="0"/>
                <w:strike w:val="0"/>
                <w:dstrike w:val="0"/>
                <w:vanish w:val="0"/>
                <w:sz w:val="18"/>
                <w:szCs w:val="18"/>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56C1622A">
            <w:pPr>
              <w:shd w:val="clear" w:color="auto" w:fill="auto"/>
              <w:spacing w:line="200" w:lineRule="exact"/>
              <w:jc w:val="left"/>
              <w:rPr>
                <w:rFonts w:ascii="方正黑体_GBK" w:hAnsi="方正黑体_GBK" w:eastAsia="方正黑体_GBK" w:cs="宋体"/>
                <w:b w:val="0"/>
                <w:i w:val="0"/>
                <w:caps w:val="0"/>
                <w:smallCaps w:val="0"/>
                <w:strike w:val="0"/>
                <w:dstrike w:val="0"/>
                <w:vanish w:val="0"/>
                <w:sz w:val="18"/>
                <w:szCs w:val="18"/>
              </w:rPr>
            </w:pPr>
            <w:r>
              <w:rPr>
                <w:rFonts w:ascii="方正黑体_GBK" w:hAnsi="方正黑体_GBK" w:eastAsia="方正黑体_GBK" w:cs="宋体"/>
                <w:b w:val="0"/>
                <w:i w:val="0"/>
                <w:caps w:val="0"/>
                <w:smallCaps w:val="0"/>
                <w:strike w:val="0"/>
                <w:dstrike w:val="0"/>
                <w:vanish w:val="0"/>
                <w:sz w:val="18"/>
                <w:szCs w:val="18"/>
              </w:rPr>
              <w:t>本理财产品通过对宏观经济、政策环境、市场状况和资金供求的深入分析，对所投资产行业和品种的深入分析，自上而下进行积极主动的资产配置，构建合理的投资组合方案。力争控制回撤幅度，追求稳健的投资回报。</w:t>
            </w:r>
          </w:p>
        </w:tc>
      </w:tr>
      <w:tr w14:paraId="5196E5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C1A276">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0416F421">
            <w:pPr>
              <w:spacing w:line="200" w:lineRule="exact"/>
            </w:pPr>
            <w:r>
              <w:rPr>
                <w:rFonts w:ascii="方正黑体_GBK" w:hAnsi="方正黑体_GBK" w:eastAsia="方正黑体_GBK" w:cs="宋体"/>
                <w:b/>
                <w:sz w:val="18"/>
                <w:szCs w:val="18"/>
              </w:rPr>
              <w:t>本理财产品拟投资以下备选非标准化债权类资产：</w:t>
            </w:r>
          </w:p>
          <w:p w14:paraId="52D6190E">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14C619A4">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6FBCC52D">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028EFAF8">
            <w:pPr>
              <w:spacing w:line="200" w:lineRule="exact"/>
            </w:pPr>
            <w:r>
              <w:rPr>
                <w:rFonts w:ascii="方正黑体_GBK" w:hAnsi="方正黑体_GBK" w:eastAsia="方正黑体_GBK" w:cs="宋体"/>
                <w:b/>
                <w:sz w:val="18"/>
                <w:szCs w:val="18"/>
              </w:rPr>
              <w:t>以上资产剩余期限均不超过产品期限。</w:t>
            </w:r>
            <w:r>
              <w:rPr>
                <w:rFonts w:ascii="方正黑体_GBK" w:hAnsi="方正黑体_GBK" w:eastAsia="方正黑体_GBK"/>
              </w:rPr>
              <w:br w:type="textWrapping"/>
            </w:r>
            <w:r>
              <w:rPr>
                <w:rFonts w:ascii="方正黑体_GBK" w:hAnsi="方正黑体_GBK" w:eastAsia="方正黑体_GBK"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14:paraId="1EC4A4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1938E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20A48D7F">
            <w:pPr>
              <w:spacing w:line="200" w:lineRule="exact"/>
            </w:pPr>
            <w:r>
              <w:rPr>
                <w:rFonts w:ascii="方正黑体_GBK" w:hAnsi="方正黑体_GBK" w:eastAsia="方正黑体_GBK" w:cs="宋体"/>
                <w:sz w:val="18"/>
                <w:szCs w:val="18"/>
              </w:rPr>
              <w:t>业绩比较基准为中债新综合全价(1-3年)指数收益率。</w:t>
            </w:r>
          </w:p>
          <w:p w14:paraId="48C47761">
            <w:pPr>
              <w:spacing w:line="200" w:lineRule="exact"/>
              <w:jc w:val="left"/>
            </w:pPr>
            <w:r>
              <w:rPr>
                <w:rFonts w:ascii="方正黑体_GBK" w:hAnsi="方正黑体_GBK" w:eastAsia="方正黑体_GBK" w:cs="宋体"/>
                <w:sz w:val="18"/>
                <w:szCs w:val="18"/>
              </w:rPr>
              <w:t>注：</w:t>
            </w:r>
          </w:p>
          <w:p w14:paraId="45F5ECA2">
            <w:pPr>
              <w:spacing w:line="200" w:lineRule="exact"/>
              <w:jc w:val="left"/>
            </w:pPr>
            <w:r>
              <w:rPr>
                <w:rFonts w:ascii="方正黑体_GBK" w:hAnsi="方正黑体_GBK" w:eastAsia="方正黑体_GBK" w:cs="宋体"/>
                <w:sz w:val="18"/>
                <w:szCs w:val="18"/>
              </w:rPr>
              <w:t>1.中债新综合全价(1-3年)指数为中央国债登记结算有限责任公司发布的债券指数，投资者可登陆中国债券信息网查询。</w:t>
            </w:r>
          </w:p>
          <w:p w14:paraId="5BBC536B">
            <w:pPr>
              <w:spacing w:line="200" w:lineRule="exact"/>
              <w:jc w:val="left"/>
            </w:pPr>
            <w:r>
              <w:rPr>
                <w:rFonts w:ascii="方正黑体_GBK" w:hAnsi="方正黑体_GBK" w:eastAsia="方正黑体_GBK" w:cs="宋体"/>
                <w:sz w:val="18"/>
                <w:szCs w:val="18"/>
              </w:rPr>
              <w:t>2.在某一封闭期内，以上指数收益率（年化）计算方式为：（封闭期末日的指数收盘价÷封闭期首日前一工作日的指数收盘价-1）÷该封闭期天数×365天。</w:t>
            </w:r>
          </w:p>
          <w:p w14:paraId="2A6473D7">
            <w:pPr>
              <w:spacing w:line="200" w:lineRule="exact"/>
              <w:jc w:val="left"/>
            </w:pPr>
            <w:r>
              <w:rPr>
                <w:rFonts w:ascii="方正黑体_GBK" w:hAnsi="方正黑体_GBK" w:eastAsia="方正黑体_GBK" w:cs="宋体"/>
                <w:sz w:val="18"/>
                <w:szCs w:val="18"/>
              </w:rPr>
              <w:t>3.管理人将在本理财产品定期报告中对以上业绩比较基准进行跟踪和披露。</w:t>
            </w:r>
          </w:p>
          <w:p w14:paraId="3362E2E1">
            <w:pPr>
              <w:spacing w:line="200" w:lineRule="exact"/>
            </w:pPr>
            <w:r>
              <w:rPr>
                <w:rFonts w:ascii="方正黑体_GBK" w:hAnsi="方正黑体_GBK" w:eastAsia="方正黑体_GBK" w:cs="宋体"/>
                <w:sz w:val="18"/>
                <w:szCs w:val="18"/>
              </w:rPr>
              <w:t>4.南银理财可根据市场情况对业绩比较基准进行适当调整，如有调整，将至少于调整前3个工作日公布调整方案。</w:t>
            </w:r>
          </w:p>
          <w:p w14:paraId="21B6FEB0">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业绩比较基准。</w:t>
            </w:r>
          </w:p>
          <w:p w14:paraId="0812AF64">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4501AE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3CAE255">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45746077">
            <w:pPr>
              <w:spacing w:line="200" w:lineRule="exact"/>
            </w:pPr>
            <w:r>
              <w:rPr>
                <w:rFonts w:ascii="方正黑体_GBK" w:hAnsi="方正黑体_GBK" w:eastAsia="方正黑体_GBK" w:cs="宋体"/>
                <w:b/>
                <w:sz w:val="18"/>
                <w:szCs w:val="18"/>
              </w:rPr>
              <w:t>认/申购费：本理财产品暂不收取认/申购费。</w:t>
            </w:r>
          </w:p>
          <w:p w14:paraId="6E7E1554">
            <w:pPr>
              <w:spacing w:line="200" w:lineRule="exact"/>
            </w:pPr>
            <w:r>
              <w:rPr>
                <w:rFonts w:ascii="方正黑体_GBK" w:hAnsi="方正黑体_GBK" w:eastAsia="方正黑体_GBK" w:cs="宋体"/>
                <w:b/>
                <w:sz w:val="18"/>
                <w:szCs w:val="18"/>
              </w:rPr>
              <w:t>赎回费：本理财产品暂不收取赎回费。</w:t>
            </w:r>
          </w:p>
          <w:p w14:paraId="3C6EF292">
            <w:pPr>
              <w:spacing w:line="200" w:lineRule="exact"/>
            </w:pPr>
            <w:r>
              <w:rPr>
                <w:rFonts w:ascii="方正黑体_GBK" w:hAnsi="方正黑体_GBK" w:eastAsia="方正黑体_GBK" w:cs="宋体"/>
                <w:b/>
                <w:sz w:val="18"/>
                <w:szCs w:val="18"/>
              </w:rPr>
              <w:t>销售费：本理财产品按前一日理财产品资产净值收取年化0.2%的销售费，按日计提。</w:t>
            </w:r>
          </w:p>
          <w:p w14:paraId="25EBFE2B">
            <w:pPr>
              <w:spacing w:line="200" w:lineRule="exact"/>
            </w:pPr>
            <w:r>
              <w:rPr>
                <w:rFonts w:ascii="方正黑体_GBK" w:hAnsi="方正黑体_GBK" w:eastAsia="方正黑体_GBK" w:cs="宋体"/>
                <w:b/>
                <w:sz w:val="18"/>
                <w:szCs w:val="18"/>
              </w:rPr>
              <w:t>每日计提的销售费=前一日理财产品资产净值×年化销售费率÷365</w:t>
            </w:r>
          </w:p>
          <w:p w14:paraId="68E689C6">
            <w:pPr>
              <w:spacing w:line="200" w:lineRule="exact"/>
            </w:pPr>
            <w:r>
              <w:rPr>
                <w:rFonts w:ascii="方正黑体_GBK" w:hAnsi="方正黑体_GBK" w:eastAsia="方正黑体_GBK" w:cs="宋体"/>
                <w:b/>
                <w:sz w:val="18"/>
                <w:szCs w:val="18"/>
              </w:rPr>
              <w:t>固定管理费：本理财产品按前一日理财产品资产净值收取年化0.3%的固定管理费，按日计提。</w:t>
            </w:r>
          </w:p>
          <w:p w14:paraId="1AC7825B">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63258132">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25363FAD">
            <w:pPr>
              <w:spacing w:line="200" w:lineRule="exact"/>
            </w:pPr>
            <w:r>
              <w:rPr>
                <w:rFonts w:ascii="方正黑体_GBK" w:hAnsi="方正黑体_GBK" w:eastAsia="方正黑体_GBK" w:cs="宋体"/>
                <w:b/>
                <w:sz w:val="18"/>
                <w:szCs w:val="18"/>
              </w:rPr>
              <w:t>每日计提的托管费=前一日理财产品资产净值×年化托管费率÷365</w:t>
            </w:r>
          </w:p>
          <w:p w14:paraId="62CEE718">
            <w:pPr>
              <w:spacing w:line="200" w:lineRule="exact"/>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3.3%（年化，即产品该份额对应的业绩报酬计提基准）时，超过部分管理人将按20%收取业绩报酬。</w:t>
            </w:r>
          </w:p>
          <w:p w14:paraId="56D02986">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3A594FEC">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52318C4B">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0F2DF48B">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4C300888">
            <w:pPr>
              <w:spacing w:line="200" w:lineRule="exact"/>
            </w:pPr>
            <w:r>
              <w:rPr>
                <w:rFonts w:ascii="方正黑体_GBK" w:hAnsi="方正黑体_GBK" w:eastAsia="方正黑体_GBK" w:cs="宋体"/>
                <w:b/>
                <w:sz w:val="18"/>
                <w:szCs w:val="18"/>
              </w:rPr>
              <w:t>计算本区间业绩报酬的公式如下：</w:t>
            </w:r>
          </w:p>
          <w:p w14:paraId="6EA25397">
            <w:pPr>
              <w:spacing w:line="200" w:lineRule="exact"/>
            </w:pPr>
            <w:r>
              <w:rPr>
                <w:rFonts w:ascii="方正黑体_GBK" w:hAnsi="方正黑体_GBK" w:eastAsia="方正黑体_GBK" w:cs="宋体"/>
                <w:b/>
                <w:sz w:val="18"/>
                <w:szCs w:val="18"/>
              </w:rPr>
              <w:t>A={B-C*D*(1+E*F/365)}*G。</w:t>
            </w:r>
          </w:p>
          <w:p w14:paraId="48A81797">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59D139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BC980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12734241">
            <w:pPr>
              <w:spacing w:line="200" w:lineRule="exact"/>
              <w:jc w:val="left"/>
            </w:pPr>
            <w:r>
              <w:rPr>
                <w:rFonts w:ascii="方正黑体_GBK" w:hAnsi="方正黑体_GBK" w:eastAsia="方正黑体_GBK" w:cs="宋体"/>
                <w:color w:val="000000"/>
                <w:sz w:val="18"/>
                <w:szCs w:val="18"/>
              </w:rPr>
              <w:t>具体参见本理财产品风险揭示书。</w:t>
            </w:r>
          </w:p>
          <w:p w14:paraId="2C5B4642">
            <w:pPr>
              <w:spacing w:line="200" w:lineRule="exact"/>
              <w:jc w:val="left"/>
            </w:pPr>
            <w:r>
              <w:rPr>
                <w:rFonts w:ascii="方正黑体_GBK" w:hAnsi="方正黑体_GBK" w:eastAsia="方正黑体_GBK"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14:paraId="5DA7B36C">
            <w:pPr>
              <w:spacing w:line="200" w:lineRule="exact"/>
              <w:jc w:val="left"/>
            </w:pPr>
            <w:r>
              <w:rPr>
                <w:rFonts w:ascii="方正黑体_GBK" w:hAnsi="方正黑体_GBK" w:eastAsia="方正黑体_GBK" w:cs="宋体"/>
                <w:color w:val="000000"/>
                <w:sz w:val="18"/>
                <w:szCs w:val="18"/>
              </w:rPr>
              <w:t>一是建仓或进行组合调整时，若投资资产包括债券或基金，可能由于特定债券或基金的流动性相对不足而无法按预期的价格买进（申购）或卖出（赎回）；</w:t>
            </w:r>
          </w:p>
          <w:p w14:paraId="5481D642">
            <w:pPr>
              <w:spacing w:line="200" w:lineRule="exact"/>
              <w:jc w:val="left"/>
            </w:pPr>
            <w:r>
              <w:rPr>
                <w:rFonts w:ascii="方正黑体_GBK" w:hAnsi="方正黑体_GBK" w:eastAsia="方正黑体_GBK" w:cs="宋体"/>
                <w:color w:val="000000"/>
                <w:sz w:val="18"/>
                <w:szCs w:val="18"/>
              </w:rPr>
              <w:t>二是为应对投资者的赎回，被迫以不适当的价格卖出债券或赎回基金；</w:t>
            </w:r>
          </w:p>
          <w:p w14:paraId="35B98E93">
            <w:pPr>
              <w:spacing w:line="200" w:lineRule="exact"/>
              <w:jc w:val="left"/>
            </w:pPr>
            <w:r>
              <w:rPr>
                <w:rFonts w:ascii="方正黑体_GBK" w:hAnsi="方正黑体_GBK" w:eastAsia="方正黑体_GBK" w:cs="宋体"/>
                <w:color w:val="000000"/>
                <w:sz w:val="18"/>
                <w:szCs w:val="18"/>
              </w:rPr>
              <w:t>三是若投资资产包括非标准化债权类资产，可能由于资产缺少流动性而难以变现。 以上情形均可能使产品净值受到不利影响。</w:t>
            </w:r>
          </w:p>
        </w:tc>
      </w:tr>
      <w:tr w14:paraId="1EF093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3B989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2834ADDC">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516B4415">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63E03E38">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115798FF">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43D93FE9">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2621E3F1">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4245D4E4">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306EEAE7">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1FAC3A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0B759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179682D6">
            <w:pPr>
              <w:spacing w:line="200" w:lineRule="exact"/>
              <w:jc w:val="left"/>
            </w:pPr>
            <w:r>
              <w:rPr>
                <w:rFonts w:ascii="方正黑体_GBK" w:hAnsi="方正黑体_GBK" w:eastAsia="方正黑体_GBK" w:cs="宋体"/>
                <w:sz w:val="18"/>
                <w:szCs w:val="18"/>
              </w:rPr>
              <w:t>本理财产品销售机构为南银理财有限责任公司、南京银行股份有限公司、齐鲁银行股份有限公司、九江银行股份有限公司、互金平台、日照银行股份有限公司、无锡锡商银行股份有限公司、江苏南通农村商业银行股份有限公司、江苏如皋农村商业银行股份有限公司。管理人有权调整本理财产品的销售机构并进行信息披露。</w:t>
            </w:r>
          </w:p>
          <w:p w14:paraId="5BE38CD5">
            <w:pPr>
              <w:spacing w:line="200" w:lineRule="exact"/>
              <w:jc w:val="left"/>
            </w:pPr>
            <w:r>
              <w:rPr>
                <w:rFonts w:ascii="方正黑体_GBK" w:hAnsi="方正黑体_GBK" w:eastAsia="方正黑体_GBK" w:cs="宋体"/>
                <w:sz w:val="18"/>
                <w:szCs w:val="18"/>
              </w:rPr>
              <w:t>销售机构主要职责如下：</w:t>
            </w:r>
          </w:p>
          <w:p w14:paraId="1E2DB132">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24178224">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272892D3">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30B6FA96">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06B0C3B0">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6CE499FD">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64D603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7F4D3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702776C">
            <w:pPr>
              <w:spacing w:line="200" w:lineRule="exact"/>
            </w:pPr>
            <w:r>
              <w:rPr>
                <w:rFonts w:ascii="方正黑体_GBK" w:hAnsi="方正黑体_GBK" w:eastAsia="方正黑体_GBK" w:cs="宋体"/>
                <w:sz w:val="18"/>
                <w:szCs w:val="18"/>
              </w:rPr>
              <w:t>本理财产品托管人为南京银行股份有限公司，主要职责如下：</w:t>
            </w:r>
          </w:p>
          <w:p w14:paraId="7B68037A">
            <w:pPr>
              <w:spacing w:line="200" w:lineRule="exact"/>
            </w:pPr>
            <w:r>
              <w:rPr>
                <w:rFonts w:ascii="方正黑体_GBK" w:hAnsi="方正黑体_GBK" w:eastAsia="方正黑体_GBK" w:cs="宋体"/>
                <w:sz w:val="18"/>
                <w:szCs w:val="18"/>
              </w:rPr>
              <w:t>1.安全保管理财产品财产；</w:t>
            </w:r>
          </w:p>
          <w:p w14:paraId="28F88FD0">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66714191">
            <w:pPr>
              <w:spacing w:line="200" w:lineRule="exact"/>
            </w:pPr>
            <w:r>
              <w:rPr>
                <w:rFonts w:ascii="方正黑体_GBK" w:hAnsi="方正黑体_GBK" w:eastAsia="方正黑体_GBK" w:cs="宋体"/>
                <w:sz w:val="18"/>
                <w:szCs w:val="18"/>
              </w:rPr>
              <w:t>3.按照托管协议约定和管理人的投资指令，及时办理清算、交割事宜；</w:t>
            </w:r>
          </w:p>
          <w:p w14:paraId="492AC461">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515787A5">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7E155307">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10267283">
            <w:pPr>
              <w:spacing w:line="200" w:lineRule="exact"/>
            </w:pPr>
            <w:r>
              <w:rPr>
                <w:rFonts w:ascii="方正黑体_GBK" w:hAnsi="方正黑体_GBK" w:eastAsia="方正黑体_GBK" w:cs="宋体"/>
                <w:sz w:val="18"/>
                <w:szCs w:val="18"/>
              </w:rPr>
              <w:t>7.理财托管业务活动的记录、账册、报表和其他相关资料保存20年以上；</w:t>
            </w:r>
          </w:p>
          <w:p w14:paraId="6510FCCA">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6793D59E">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022D48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4DEA5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616FA7FA">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华能贵诚信托有限公司、华鑫国际信托有限公司、建信保险资产管理有限公司、交银国际信托有限公司，上述投资合作机构主要职责对应如下，具体职责以管理人与投资合作机构签署的合同为准。</w:t>
            </w:r>
          </w:p>
          <w:p w14:paraId="65D6B08F">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华能贵诚信托有限公司、华鑫国际信托有限公司、建信保险资产管理有限公司、交银国际信托有限公司。</w:t>
            </w:r>
          </w:p>
          <w:p w14:paraId="6B0ACFB6">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3CB6C3C6">
            <w:pPr>
              <w:spacing w:line="200" w:lineRule="exact"/>
            </w:pPr>
            <w:r>
              <w:rPr>
                <w:rFonts w:ascii="方正黑体_GBK" w:hAnsi="方正黑体_GBK" w:eastAsia="方正黑体_GBK" w:cs="宋体"/>
                <w:sz w:val="18"/>
                <w:szCs w:val="18"/>
              </w:rPr>
              <w:t>上述投资合作机构简介：</w:t>
            </w:r>
          </w:p>
          <w:p w14:paraId="2EE06BAC">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1298F69B">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7510EC33">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2FAFF049">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5637DA72">
            <w:pPr>
              <w:spacing w:line="200" w:lineRule="exact"/>
            </w:pPr>
            <w:r>
              <w:rPr>
                <w:rFonts w:ascii="方正黑体_GBK" w:hAnsi="方正黑体_GBK" w:eastAsia="方正黑体_GBK" w:cs="宋体"/>
                <w:sz w:val="18"/>
                <w:szCs w:val="18"/>
              </w:rPr>
              <w:t>华鑫国际信托有限公司成立于1984年06月01日，注册资本金73.95亿元。</w:t>
            </w:r>
          </w:p>
          <w:p w14:paraId="61D511E2">
            <w:pPr>
              <w:spacing w:line="200" w:lineRule="exact"/>
            </w:pPr>
            <w:r>
              <w:rPr>
                <w:rFonts w:ascii="方正黑体_GBK" w:hAnsi="方正黑体_GBK" w:eastAsia="方正黑体_GBK" w:cs="宋体"/>
                <w:sz w:val="18"/>
                <w:szCs w:val="18"/>
              </w:rPr>
              <w:t>建信保险资产管理有限公司成立于2016年04月27日，注册资本金3亿元。</w:t>
            </w:r>
          </w:p>
          <w:p w14:paraId="2DB60040">
            <w:pPr>
              <w:spacing w:line="200" w:lineRule="exact"/>
            </w:pPr>
            <w:r>
              <w:rPr>
                <w:rFonts w:ascii="方正黑体_GBK" w:hAnsi="方正黑体_GBK" w:eastAsia="方正黑体_GBK" w:cs="宋体"/>
                <w:sz w:val="18"/>
                <w:szCs w:val="18"/>
              </w:rPr>
              <w:t>交银国际信托有限公司成立于1983年11月23日，注册资本金57.65亿元。</w:t>
            </w:r>
          </w:p>
        </w:tc>
      </w:tr>
      <w:tr w14:paraId="557BA1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6F5CA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巨额赎回</w:t>
            </w:r>
          </w:p>
        </w:tc>
        <w:tc>
          <w:tcPr>
            <w:tcW w:w="5543" w:type="dxa"/>
            <w:tcBorders>
              <w:top w:val="single" w:color="auto" w:sz="4" w:space="0"/>
              <w:left w:val="nil"/>
              <w:bottom w:val="single" w:color="auto" w:sz="4" w:space="0"/>
              <w:right w:val="single" w:color="auto" w:sz="4" w:space="0"/>
              <w:tl2br w:val="nil"/>
              <w:tr2bl w:val="nil"/>
            </w:tcBorders>
            <w:vAlign w:val="center"/>
          </w:tcPr>
          <w:p w14:paraId="271A5170">
            <w:pPr>
              <w:spacing w:line="200" w:lineRule="exact"/>
              <w:jc w:val="left"/>
            </w:pPr>
            <w:r>
              <w:rPr>
                <w:rFonts w:ascii="方正黑体_GBK" w:hAnsi="方正黑体_GBK" w:eastAsia="方正黑体_GBK" w:cs="宋体"/>
                <w:color w:val="000000"/>
                <w:sz w:val="18"/>
                <w:szCs w:val="18"/>
              </w:rPr>
              <w:t>本理财产品单个开放日净赎回申请超过前一产品工作日日终本理财产品总份额的10%时，触发巨额赎回。本理财产品在开放日发生巨额赎回时，管理人有权根据产品的实际运作情况采取如下措施中的一种：</w:t>
            </w:r>
          </w:p>
          <w:p w14:paraId="1DB4B5D4">
            <w:pPr>
              <w:spacing w:line="200" w:lineRule="exact"/>
              <w:jc w:val="left"/>
            </w:pPr>
            <w:r>
              <w:rPr>
                <w:rFonts w:ascii="方正黑体_GBK" w:hAnsi="方正黑体_GBK" w:eastAsia="方正黑体_GBK" w:cs="宋体"/>
                <w:color w:val="000000"/>
                <w:sz w:val="18"/>
                <w:szCs w:val="18"/>
              </w:rPr>
              <w:t>1.接受全额赎回：当管理人认为有能力兑付投资者的全部赎回申请时，将在赎回确认日按正常赎回程序执行；</w:t>
            </w:r>
          </w:p>
          <w:p w14:paraId="38E324C5">
            <w:pPr>
              <w:spacing w:line="200" w:lineRule="exact"/>
              <w:jc w:val="left"/>
            </w:pPr>
            <w:r>
              <w:rPr>
                <w:rFonts w:ascii="方正黑体_GBK" w:hAnsi="方正黑体_GBK" w:eastAsia="方正黑体_GBK" w:cs="宋体"/>
                <w:color w:val="000000"/>
                <w:sz w:val="18"/>
                <w:szCs w:val="18"/>
              </w:rPr>
              <w:t>2.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对于其余赎回申请管理人可暂停接受或延期办理。</w:t>
            </w:r>
          </w:p>
          <w:p w14:paraId="3B3406A8">
            <w:pPr>
              <w:spacing w:line="200" w:lineRule="exact"/>
              <w:jc w:val="left"/>
            </w:pPr>
            <w:r>
              <w:rPr>
                <w:rFonts w:ascii="方正黑体_GBK" w:hAnsi="方正黑体_GBK" w:eastAsia="方正黑体_GBK" w:cs="宋体"/>
                <w:color w:val="000000"/>
                <w:sz w:val="18"/>
                <w:szCs w:val="18"/>
              </w:rPr>
              <w:t>（1）对于接受赎回申请的部分，管理人将按单个投资者的赎回申请份额占当日所有投资者的净赎回申请总份额的比例，确认该投资者当日办理的赎回申请份额。</w:t>
            </w:r>
          </w:p>
          <w:p w14:paraId="0BCD8F05">
            <w:pPr>
              <w:spacing w:line="200" w:lineRule="exact"/>
              <w:jc w:val="left"/>
            </w:pPr>
            <w:r>
              <w:rPr>
                <w:rFonts w:ascii="方正黑体_GBK" w:hAnsi="方正黑体_GBK" w:eastAsia="方正黑体_GBK" w:cs="宋体"/>
                <w:color w:val="000000"/>
                <w:sz w:val="18"/>
                <w:szCs w:val="18"/>
              </w:rPr>
              <w:t>（2）对于暂停接受的部分，管理人将拒绝该部分赎回申请，投资者可在下一个产品开放日再次发起赎回申请。</w:t>
            </w:r>
          </w:p>
          <w:p w14:paraId="20F637DB">
            <w:pPr>
              <w:spacing w:line="200" w:lineRule="exact"/>
              <w:jc w:val="left"/>
            </w:pPr>
            <w:r>
              <w:rPr>
                <w:rFonts w:ascii="方正黑体_GBK" w:hAnsi="方正黑体_GBK" w:eastAsia="方正黑体_GBK" w:cs="宋体"/>
                <w:color w:val="000000"/>
                <w:sz w:val="18"/>
                <w:szCs w:val="18"/>
              </w:rPr>
              <w:t>（3）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2.接受部分赎回（2）对于暂停接受的部分”采取措施；投资者选择顺延的，顺延部分管理人将参考“2.接受部分赎回（3）对于延期办理的部分”采取措施。具体服务投资者可详询代销机构，最终以代销机构提供的服务为准。</w:t>
            </w:r>
          </w:p>
        </w:tc>
      </w:tr>
      <w:tr w14:paraId="462127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96666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连续巨额赎回</w:t>
            </w:r>
          </w:p>
        </w:tc>
        <w:tc>
          <w:tcPr>
            <w:tcW w:w="5543" w:type="dxa"/>
            <w:tcBorders>
              <w:top w:val="single" w:color="auto" w:sz="4" w:space="0"/>
              <w:left w:val="nil"/>
              <w:bottom w:val="single" w:color="auto" w:sz="4" w:space="0"/>
              <w:right w:val="single" w:color="auto" w:sz="4" w:space="0"/>
              <w:tl2br w:val="nil"/>
              <w:tr2bl w:val="nil"/>
            </w:tcBorders>
            <w:vAlign w:val="center"/>
          </w:tcPr>
          <w:p w14:paraId="60DC5227">
            <w:pPr>
              <w:spacing w:line="200" w:lineRule="exact"/>
            </w:pPr>
            <w:r>
              <w:rPr>
                <w:rFonts w:ascii="方正黑体_GBK" w:hAnsi="方正黑体_GBK" w:eastAsia="方正黑体_GBK"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14:paraId="2379DA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C8C0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暂停接受认申购</w:t>
            </w:r>
          </w:p>
        </w:tc>
        <w:tc>
          <w:tcPr>
            <w:tcW w:w="5543" w:type="dxa"/>
            <w:tcBorders>
              <w:top w:val="single" w:color="auto" w:sz="4" w:space="0"/>
              <w:left w:val="nil"/>
              <w:bottom w:val="single" w:color="auto" w:sz="4" w:space="0"/>
              <w:right w:val="single" w:color="auto" w:sz="4" w:space="0"/>
              <w:tl2br w:val="nil"/>
              <w:tr2bl w:val="nil"/>
            </w:tcBorders>
            <w:vAlign w:val="center"/>
          </w:tcPr>
          <w:p w14:paraId="78ACD305">
            <w:pPr>
              <w:spacing w:line="200" w:lineRule="exact"/>
            </w:pPr>
            <w:r>
              <w:rPr>
                <w:rFonts w:ascii="方正黑体_GBK" w:hAnsi="方正黑体_GBK" w:eastAsia="方正黑体_GBK" w:cs="宋体"/>
                <w:sz w:val="18"/>
                <w:szCs w:val="18"/>
              </w:rPr>
              <w:t>发生下列情形时，管理人可暂停接受投资者认申购申请：</w:t>
            </w:r>
          </w:p>
          <w:p w14:paraId="13DACBA2">
            <w:pPr>
              <w:spacing w:line="200" w:lineRule="exact"/>
            </w:pPr>
            <w:r>
              <w:rPr>
                <w:rFonts w:ascii="方正黑体_GBK" w:hAnsi="方正黑体_GBK" w:eastAsia="方正黑体_GBK" w:cs="宋体"/>
                <w:sz w:val="18"/>
                <w:szCs w:val="18"/>
              </w:rPr>
              <w:t>1.因不可抗力导致理财产品无法正常运作；</w:t>
            </w:r>
          </w:p>
          <w:p w14:paraId="326FB9C0">
            <w:pPr>
              <w:spacing w:line="200" w:lineRule="exact"/>
            </w:pPr>
            <w:r>
              <w:rPr>
                <w:rFonts w:ascii="方正黑体_GBK" w:hAnsi="方正黑体_GBK" w:eastAsia="方正黑体_GBK" w:cs="宋体"/>
                <w:sz w:val="18"/>
                <w:szCs w:val="18"/>
              </w:rPr>
              <w:t>2.因监管政策、市场发生重大变化，导致理财产品无法正常运作；</w:t>
            </w:r>
          </w:p>
          <w:p w14:paraId="45DC9D07">
            <w:pPr>
              <w:spacing w:line="200" w:lineRule="exact"/>
            </w:pPr>
            <w:r>
              <w:rPr>
                <w:rFonts w:ascii="方正黑体_GBK" w:hAnsi="方正黑体_GBK" w:eastAsia="方正黑体_GBK" w:cs="宋体"/>
                <w:sz w:val="18"/>
                <w:szCs w:val="18"/>
              </w:rPr>
              <w:t>3.管理人认为需要暂停认申购的其他情形。</w:t>
            </w:r>
          </w:p>
          <w:p w14:paraId="7564D27A">
            <w:pPr>
              <w:spacing w:line="200" w:lineRule="exact"/>
            </w:pPr>
            <w:r>
              <w:rPr>
                <w:rFonts w:ascii="方正黑体_GBK" w:hAnsi="方正黑体_GBK" w:eastAsia="方正黑体_GBK" w:cs="宋体"/>
                <w:b/>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14:paraId="2D124C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8AC07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暂停接受赎回</w:t>
            </w:r>
          </w:p>
        </w:tc>
        <w:tc>
          <w:tcPr>
            <w:tcW w:w="5543" w:type="dxa"/>
            <w:tcBorders>
              <w:top w:val="single" w:color="auto" w:sz="4" w:space="0"/>
              <w:left w:val="nil"/>
              <w:bottom w:val="single" w:color="auto" w:sz="4" w:space="0"/>
              <w:right w:val="single" w:color="auto" w:sz="4" w:space="0"/>
              <w:tl2br w:val="nil"/>
              <w:tr2bl w:val="nil"/>
            </w:tcBorders>
            <w:vAlign w:val="center"/>
          </w:tcPr>
          <w:p w14:paraId="2491626E">
            <w:pPr>
              <w:spacing w:line="200" w:lineRule="exact"/>
            </w:pPr>
            <w:r>
              <w:rPr>
                <w:rFonts w:ascii="方正黑体_GBK" w:hAnsi="方正黑体_GBK" w:eastAsia="方正黑体_GBK" w:cs="宋体"/>
                <w:sz w:val="18"/>
                <w:szCs w:val="18"/>
              </w:rPr>
              <w:t>当本理财产品的当期赎回量超过上期理财产品规模的20%时，管理人有权暂停接受投资者的赎回申请，已经接受的赎回申请管理人有权延缓支付赎回款项，延缓期限不超过20个工作日。</w:t>
            </w:r>
          </w:p>
          <w:p w14:paraId="6CE4F3CD">
            <w:pPr>
              <w:spacing w:line="200" w:lineRule="exact"/>
            </w:pPr>
            <w:r>
              <w:rPr>
                <w:rFonts w:ascii="方正黑体_GBK" w:hAnsi="方正黑体_GBK" w:eastAsia="方正黑体_GBK" w:cs="宋体"/>
                <w:b/>
                <w:sz w:val="18"/>
                <w:szCs w:val="18"/>
              </w:rPr>
              <w:t>如发生以上暂停的情况，管理人将在3个交易日内告知投资者，并说明运用相关措施的原因、拟采取的应对安排等，投资者需重新进行资金安排。</w:t>
            </w:r>
          </w:p>
        </w:tc>
      </w:tr>
      <w:tr w14:paraId="777F18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5C063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1024099D">
            <w:pPr>
              <w:spacing w:line="200" w:lineRule="exact"/>
              <w:jc w:val="left"/>
            </w:pPr>
            <w:r>
              <w:rPr>
                <w:rFonts w:ascii="方正黑体_GBK" w:hAnsi="方正黑体_GBK" w:eastAsia="方正黑体_GBK" w:cs="宋体"/>
                <w:sz w:val="18"/>
                <w:szCs w:val="18"/>
              </w:rPr>
              <w:t>1.本理财产品开放日内非操作时间不能进行申购/赎回申请，封闭期内不开放申购/赎回申请。</w:t>
            </w:r>
          </w:p>
          <w:p w14:paraId="2D7FBA79">
            <w:pPr>
              <w:spacing w:line="200" w:lineRule="exact"/>
              <w:jc w:val="left"/>
            </w:pPr>
            <w:r>
              <w:rPr>
                <w:rFonts w:ascii="方正黑体_GBK" w:hAnsi="方正黑体_GBK" w:eastAsia="方正黑体_GBK" w:cs="宋体"/>
                <w:sz w:val="18"/>
                <w:szCs w:val="18"/>
              </w:rPr>
              <w:t>2.管理人在本理财产品存续期间按照监管规定进行信息披露，详见本理财产品说明书第五条信息披露。</w:t>
            </w:r>
          </w:p>
          <w:p w14:paraId="6350A281">
            <w:pPr>
              <w:spacing w:line="200" w:lineRule="exact"/>
              <w:jc w:val="left"/>
            </w:pPr>
            <w:r>
              <w:rPr>
                <w:rFonts w:ascii="方正黑体_GBK" w:hAnsi="方正黑体_GBK" w:eastAsia="方正黑体_GBK" w:cs="宋体"/>
                <w:b/>
                <w:sz w:val="18"/>
                <w:szCs w:val="18"/>
              </w:rPr>
              <w:t>3.本理财产品投资的资产管理产品的业绩报酬、赎回费等的提取（如有）可能造成本理财产品净值的下降。</w:t>
            </w:r>
          </w:p>
          <w:p w14:paraId="1AE0AE76">
            <w:pPr>
              <w:spacing w:line="200" w:lineRule="exact"/>
            </w:pPr>
            <w:r>
              <w:rPr>
                <w:rFonts w:ascii="方正黑体_GBK" w:hAnsi="方正黑体_GBK" w:eastAsia="方正黑体_GBK" w:cs="宋体"/>
                <w:b/>
                <w:sz w:val="18"/>
                <w:szCs w:val="18"/>
              </w:rPr>
              <w:t>4.本理财产品可能投资不存在活跃交易市场且需要采用估值技术确定公允价值的资产，且计划投资前述资产的比例达到本理财产品净资产50%以上（“以上”含本数）。</w:t>
            </w:r>
          </w:p>
        </w:tc>
      </w:tr>
      <w:tr w14:paraId="1A378B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FBB99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68FABE69">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0FD353E">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66451694">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3B3F96B3">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5C17F214">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0F485D5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5FDBB36C">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75F12D8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2FEEBE2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2077B12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2346366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093B03E9">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0A425BA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3B87D9B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196DD27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52278E8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77E7981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00CF070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41510D28">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24F1E25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72CB278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4C8F76C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104B550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73DE847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72C63C4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21145A6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0F2DB62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4E4C318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217AE73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4A251C3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7E8D789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6F2C797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173970F2">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0E7B986C">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南银理财珠联璧合行稳一年定开10M公募人民币理财产品</w:t>
      </w:r>
      <w:r>
        <w:rPr>
          <w:rFonts w:hint="eastAsia" w:ascii="方正黑体_GBK" w:hAnsi="方正黑体_GBK" w:eastAsia="方正黑体_GBK"/>
          <w:vanish w:val="0"/>
          <w:color w:val="3D3D3D"/>
          <w:kern w:val="0"/>
          <w:sz w:val="15"/>
          <w:szCs w:val="15"/>
        </w:rPr>
        <w:t>。</w:t>
      </w:r>
    </w:p>
    <w:p w14:paraId="2807049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7D912DC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004D10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2893A2C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4C46D67F">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44ECC03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4296E9D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46D2ECC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0A12CF0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776739D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00C5A1B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2872A05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38543B1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62ECDC4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357465D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7F1E4FA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37C30E7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718677B3">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6BB5507B">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4CFDAE86">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4C6E4008">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311C558A">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71A10D1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4AE77C66">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14CA6C20">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4A64A893">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782784A5">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0ED470AD">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6AC8F9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256E2A02">
      <w:pPr>
        <w:spacing w:line="200" w:lineRule="exact"/>
        <w:ind w:firstLine="280"/>
        <w:jc w:val="left"/>
      </w:pPr>
      <w:r>
        <w:rPr>
          <w:rFonts w:ascii="方正黑体_GBK" w:hAnsi="方正黑体_GBK" w:eastAsia="方正黑体_GBK" w:cs="宋体"/>
          <w:sz w:val="15"/>
          <w:szCs w:val="20"/>
        </w:rPr>
        <w:t>假设：投资者认购本理财产品10万元，成立日当日产品净值为1.0000元，折算份额100,000份。</w:t>
      </w:r>
    </w:p>
    <w:p w14:paraId="56845275">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情景示例一：产品实际到期日，扣除所有税费后（如有业绩报酬，已扣除）的赎回确认每份额净值为1.0300，则客户在资金到帐日收到到期款项为103,000元。</w:t>
      </w:r>
    </w:p>
    <w:p w14:paraId="644E50EF">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情景示例二：产品实际到期日，扣除所有税费后（如有业绩报酬，已扣除）的赎回确认每份额净值为0.9700，则客户在资金到帐日收到到期款项为97,000元。</w:t>
      </w:r>
    </w:p>
    <w:p w14:paraId="267E7C3F">
      <w:pPr>
        <w:spacing w:line="200" w:lineRule="exact"/>
      </w:pPr>
      <w:r>
        <w:rPr>
          <w:rFonts w:ascii="方正黑体_GBK" w:hAnsi="方正黑体_GBK" w:eastAsia="方正黑体_GBK" w:cs="宋体"/>
          <w:sz w:val="15"/>
          <w:szCs w:val="20"/>
        </w:rPr>
        <w:t xml:space="preserve"> 以上数据为假设情形中的模拟数据，不代表实际收益，投资需谨慎。</w:t>
      </w:r>
    </w:p>
    <w:p w14:paraId="38B3E84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22A6E21B">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0EB0B8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191E6E0F">
      <w:pPr>
        <w:spacing w:line="200" w:lineRule="exact"/>
        <w:ind w:firstLine="300"/>
        <w:jc w:val="both"/>
      </w:pPr>
      <w:r>
        <w:rPr>
          <w:rFonts w:ascii="方正黑体_GBK" w:hAnsi="方正黑体_GBK" w:eastAsia="方正黑体_GBK" w:cs="宋体"/>
          <w:sz w:val="15"/>
          <w:szCs w:val="20"/>
        </w:rPr>
        <w:t>（一）估值日</w:t>
      </w:r>
    </w:p>
    <w:p w14:paraId="344E8015">
      <w:pPr>
        <w:spacing w:line="200" w:lineRule="exact"/>
        <w:ind w:firstLine="300"/>
        <w:jc w:val="both"/>
      </w:pPr>
      <w:r>
        <w:rPr>
          <w:rFonts w:ascii="方正黑体_GBK" w:hAnsi="方正黑体_GBK" w:eastAsia="方正黑体_GBK" w:cs="宋体"/>
          <w:sz w:val="15"/>
          <w:szCs w:val="20"/>
        </w:rPr>
        <w:t>本理财产品每个工作日进行估值。</w:t>
      </w:r>
    </w:p>
    <w:p w14:paraId="09F4BF5A">
      <w:pPr>
        <w:spacing w:line="200" w:lineRule="exact"/>
        <w:ind w:firstLine="300"/>
        <w:jc w:val="both"/>
      </w:pPr>
      <w:r>
        <w:rPr>
          <w:rFonts w:ascii="方正黑体_GBK" w:hAnsi="方正黑体_GBK" w:eastAsia="方正黑体_GBK" w:cs="宋体"/>
          <w:sz w:val="15"/>
          <w:szCs w:val="20"/>
        </w:rPr>
        <w:t>（二）估值对象</w:t>
      </w:r>
    </w:p>
    <w:p w14:paraId="4C647760">
      <w:pPr>
        <w:spacing w:line="200" w:lineRule="exact"/>
        <w:ind w:firstLine="300"/>
        <w:jc w:val="both"/>
      </w:pPr>
      <w:r>
        <w:rPr>
          <w:rFonts w:ascii="方正黑体_GBK" w:hAnsi="方正黑体_GBK" w:eastAsia="方正黑体_GBK" w:cs="宋体"/>
          <w:sz w:val="15"/>
          <w:szCs w:val="20"/>
        </w:rPr>
        <w:t>本理财产品所拥有的所有资产及负债。</w:t>
      </w:r>
    </w:p>
    <w:p w14:paraId="4DE04534">
      <w:pPr>
        <w:spacing w:line="200" w:lineRule="exact"/>
        <w:ind w:firstLine="300"/>
        <w:jc w:val="both"/>
      </w:pPr>
      <w:r>
        <w:rPr>
          <w:rFonts w:ascii="方正黑体_GBK" w:hAnsi="方正黑体_GBK" w:eastAsia="方正黑体_GBK" w:cs="宋体"/>
          <w:sz w:val="15"/>
          <w:szCs w:val="20"/>
        </w:rPr>
        <w:t>（三）估值目的</w:t>
      </w:r>
    </w:p>
    <w:p w14:paraId="7460B414">
      <w:pPr>
        <w:spacing w:line="200" w:lineRule="exact"/>
        <w:ind w:firstLine="300"/>
        <w:jc w:val="both"/>
      </w:pPr>
      <w:r>
        <w:rPr>
          <w:rFonts w:ascii="方正黑体_GBK" w:hAnsi="方正黑体_GBK" w:eastAsia="方正黑体_GBK" w:cs="宋体"/>
          <w:sz w:val="15"/>
          <w:szCs w:val="20"/>
        </w:rPr>
        <w:t>客观、准确反映理财产品的价值。</w:t>
      </w:r>
    </w:p>
    <w:p w14:paraId="7512BAB0">
      <w:pPr>
        <w:spacing w:line="200" w:lineRule="exact"/>
        <w:ind w:firstLine="300"/>
        <w:jc w:val="both"/>
      </w:pPr>
      <w:r>
        <w:rPr>
          <w:rFonts w:ascii="方正黑体_GBK" w:hAnsi="方正黑体_GBK" w:eastAsia="方正黑体_GBK" w:cs="宋体"/>
          <w:sz w:val="15"/>
          <w:szCs w:val="20"/>
        </w:rPr>
        <w:t>（四）估值原则</w:t>
      </w:r>
    </w:p>
    <w:p w14:paraId="10E0D43C">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14:paraId="32F52406">
      <w:pPr>
        <w:spacing w:line="200" w:lineRule="exact"/>
        <w:ind w:firstLine="300"/>
        <w:jc w:val="both"/>
      </w:pPr>
      <w:r>
        <w:rPr>
          <w:rFonts w:ascii="方正黑体_GBK" w:hAnsi="方正黑体_GBK" w:eastAsia="方正黑体_GBK" w:cs="宋体"/>
          <w:sz w:val="15"/>
          <w:szCs w:val="20"/>
        </w:rPr>
        <w:t>（五）估值方法</w:t>
      </w:r>
    </w:p>
    <w:p w14:paraId="756C9477">
      <w:pPr>
        <w:spacing w:line="200" w:lineRule="exact"/>
        <w:ind w:firstLine="280"/>
        <w:jc w:val="left"/>
      </w:pPr>
      <w:r>
        <w:rPr>
          <w:rFonts w:ascii="方正黑体_GBK" w:hAnsi="方正黑体_GBK" w:eastAsia="方正黑体_GBK" w:cs="宋体"/>
          <w:sz w:val="15"/>
          <w:szCs w:val="20"/>
        </w:rPr>
        <w:t>估值方法中列示的资产品种不代表管理人的实际投向，本理财产品拟投资范围以“投资范围”章节描述为准。</w:t>
      </w:r>
    </w:p>
    <w:p w14:paraId="5097D0FE">
      <w:pPr>
        <w:spacing w:line="200" w:lineRule="exact"/>
        <w:ind w:firstLine="280"/>
        <w:jc w:val="left"/>
      </w:pPr>
      <w:r>
        <w:rPr>
          <w:rFonts w:ascii="方正黑体_GBK" w:hAnsi="方正黑体_GBK" w:eastAsia="方正黑体_GBK" w:cs="宋体"/>
          <w:sz w:val="15"/>
          <w:szCs w:val="20"/>
        </w:rPr>
        <w:t>1.银行存款、回购等货币市场工具</w:t>
      </w:r>
    </w:p>
    <w:p w14:paraId="1DBA7BAD">
      <w:pPr>
        <w:spacing w:line="200" w:lineRule="exact"/>
        <w:ind w:firstLine="280"/>
        <w:jc w:val="left"/>
      </w:pPr>
      <w:r>
        <w:rPr>
          <w:rFonts w:ascii="方正黑体_GBK" w:hAnsi="方正黑体_GBK" w:eastAsia="方正黑体_GBK" w:cs="宋体"/>
          <w:sz w:val="15"/>
          <w:szCs w:val="20"/>
        </w:rPr>
        <w:t>以本金列示，按商定的利率在实际持有期间内逐日计提。</w:t>
      </w:r>
    </w:p>
    <w:p w14:paraId="01E5A229">
      <w:pPr>
        <w:spacing w:line="200" w:lineRule="exact"/>
        <w:ind w:firstLine="280"/>
        <w:jc w:val="left"/>
      </w:pPr>
      <w:r>
        <w:rPr>
          <w:rFonts w:ascii="方正黑体_GBK" w:hAnsi="方正黑体_GBK" w:eastAsia="方正黑体_GBK" w:cs="宋体"/>
          <w:color w:val="3D3D3D"/>
          <w:sz w:val="15"/>
          <w:szCs w:val="20"/>
        </w:rPr>
        <w:t>2.债券类资产</w:t>
      </w:r>
    </w:p>
    <w:p w14:paraId="1B19721D">
      <w:pPr>
        <w:spacing w:line="200" w:lineRule="exact"/>
        <w:ind w:firstLine="280"/>
        <w:jc w:val="left"/>
      </w:pPr>
      <w:r>
        <w:rPr>
          <w:rFonts w:ascii="方正黑体_GBK" w:hAnsi="方正黑体_GBK" w:eastAsia="方正黑体_GBK"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35F8151A">
      <w:pPr>
        <w:spacing w:line="200" w:lineRule="exact"/>
        <w:ind w:firstLine="280"/>
        <w:jc w:val="left"/>
      </w:pPr>
      <w:r>
        <w:rPr>
          <w:rFonts w:ascii="方正黑体_GBK" w:hAnsi="方正黑体_GBK" w:eastAsia="方正黑体_GBK" w:cs="宋体"/>
          <w:color w:val="3D3D3D"/>
          <w:sz w:val="15"/>
          <w:szCs w:val="20"/>
        </w:rPr>
        <w:t>3.非标准化债权类资产</w:t>
      </w:r>
    </w:p>
    <w:p w14:paraId="3D46418D">
      <w:pPr>
        <w:spacing w:line="200" w:lineRule="exact"/>
        <w:ind w:firstLine="280"/>
        <w:jc w:val="left"/>
      </w:pPr>
      <w:r>
        <w:rPr>
          <w:rFonts w:ascii="方正黑体_GBK" w:hAnsi="方正黑体_GBK" w:eastAsia="方正黑体_GBK"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14:paraId="003CD430">
      <w:pPr>
        <w:spacing w:line="200" w:lineRule="exact"/>
        <w:ind w:firstLine="280"/>
        <w:jc w:val="left"/>
      </w:pPr>
      <w:r>
        <w:rPr>
          <w:rFonts w:ascii="方正黑体_GBK" w:hAnsi="方正黑体_GBK" w:eastAsia="方正黑体_GBK" w:cs="宋体"/>
          <w:color w:val="3D3D3D"/>
          <w:sz w:val="15"/>
          <w:szCs w:val="20"/>
        </w:rPr>
        <w:t>4.证券投资基金</w:t>
      </w:r>
    </w:p>
    <w:p w14:paraId="277E9C2C">
      <w:pPr>
        <w:spacing w:line="200" w:lineRule="exact"/>
        <w:ind w:firstLine="280"/>
        <w:jc w:val="left"/>
      </w:pPr>
      <w:r>
        <w:rPr>
          <w:rFonts w:ascii="方正黑体_GBK" w:hAnsi="方正黑体_GBK" w:eastAsia="方正黑体_GBK"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3B2B5FDC">
      <w:pPr>
        <w:spacing w:line="200" w:lineRule="exact"/>
        <w:ind w:firstLine="280"/>
        <w:jc w:val="left"/>
      </w:pPr>
      <w:r>
        <w:rPr>
          <w:rFonts w:ascii="方正黑体_GBK" w:hAnsi="方正黑体_GBK" w:eastAsia="方正黑体_GBK" w:cs="宋体"/>
          <w:color w:val="3D3D3D"/>
          <w:sz w:val="15"/>
          <w:szCs w:val="20"/>
        </w:rPr>
        <w:t>5.股权类资产</w:t>
      </w:r>
    </w:p>
    <w:p w14:paraId="77D41BC6">
      <w:pPr>
        <w:spacing w:line="200" w:lineRule="exact"/>
        <w:ind w:firstLine="280"/>
        <w:jc w:val="left"/>
      </w:pPr>
      <w:r>
        <w:rPr>
          <w:rFonts w:ascii="方正黑体_GBK" w:hAnsi="方正黑体_GBK" w:eastAsia="方正黑体_GBK"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4C06BCC8">
      <w:pPr>
        <w:spacing w:line="200" w:lineRule="exact"/>
        <w:ind w:firstLine="280"/>
        <w:jc w:val="left"/>
      </w:pPr>
      <w:r>
        <w:rPr>
          <w:rFonts w:ascii="方正黑体_GBK" w:hAnsi="方正黑体_GBK" w:eastAsia="方正黑体_GBK" w:cs="宋体"/>
          <w:color w:val="3D3D3D"/>
          <w:sz w:val="15"/>
          <w:szCs w:val="20"/>
        </w:rPr>
        <w:t>6.资管计划、信托计划等资产</w:t>
      </w:r>
    </w:p>
    <w:p w14:paraId="3D815BE3">
      <w:pPr>
        <w:spacing w:line="200" w:lineRule="exact"/>
        <w:ind w:firstLine="280"/>
        <w:jc w:val="left"/>
      </w:pPr>
      <w:r>
        <w:rPr>
          <w:rFonts w:ascii="方正黑体_GBK" w:hAnsi="方正黑体_GBK" w:eastAsia="方正黑体_GBK" w:cs="宋体"/>
          <w:color w:val="3D3D3D"/>
          <w:sz w:val="15"/>
          <w:szCs w:val="20"/>
        </w:rPr>
        <w:t>存在公允价值的，按照公允价值估值，或采用估值技术确定估值，也可采用被委托机构提供的估值或计量报告。</w:t>
      </w:r>
    </w:p>
    <w:p w14:paraId="72DB7B7F">
      <w:pPr>
        <w:spacing w:line="200" w:lineRule="exact"/>
        <w:ind w:firstLine="280"/>
        <w:jc w:val="left"/>
      </w:pPr>
      <w:r>
        <w:rPr>
          <w:rFonts w:ascii="方正黑体_GBK" w:hAnsi="方正黑体_GBK" w:eastAsia="方正黑体_GBK" w:cs="宋体"/>
          <w:color w:val="3D3D3D"/>
          <w:sz w:val="15"/>
          <w:szCs w:val="20"/>
        </w:rPr>
        <w:t>7.其他资产</w:t>
      </w:r>
    </w:p>
    <w:p w14:paraId="56E1DC23">
      <w:pPr>
        <w:spacing w:line="200" w:lineRule="exact"/>
        <w:ind w:firstLine="280"/>
        <w:jc w:val="left"/>
      </w:pPr>
      <w:r>
        <w:rPr>
          <w:rFonts w:ascii="方正黑体_GBK" w:hAnsi="方正黑体_GBK" w:eastAsia="方正黑体_GBK" w:cs="宋体"/>
          <w:color w:val="3D3D3D"/>
          <w:sz w:val="15"/>
          <w:szCs w:val="20"/>
        </w:rPr>
        <w:t>存在公允价值的，按照公允价值估值，或采用估值技术确定估值，也可采用被委托机构提供的估值或计量报告。具体可参考《企业会计准则》以及相关监管政策的规定。</w:t>
      </w:r>
    </w:p>
    <w:p w14:paraId="299BE7BC">
      <w:pPr>
        <w:spacing w:line="200" w:lineRule="exact"/>
        <w:ind w:firstLine="280"/>
        <w:jc w:val="left"/>
      </w:pPr>
      <w:r>
        <w:rPr>
          <w:rFonts w:ascii="方正黑体_GBK" w:hAnsi="方正黑体_GBK" w:eastAsia="方正黑体_GBK" w:cs="宋体"/>
          <w:color w:val="3D3D3D"/>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14:paraId="0EC63847">
      <w:pPr>
        <w:spacing w:line="200" w:lineRule="exact"/>
        <w:ind w:firstLine="280"/>
        <w:jc w:val="left"/>
      </w:pPr>
      <w:r>
        <w:rPr>
          <w:rFonts w:ascii="方正黑体_GBK" w:hAnsi="方正黑体_GBK" w:eastAsia="方正黑体_GBK" w:cs="宋体"/>
          <w:color w:val="3D3D3D"/>
          <w:sz w:val="15"/>
          <w:szCs w:val="20"/>
        </w:rPr>
        <w:t>9.如有新增事项或变更事项，按国家最新规定或管理人最新的约定估值。</w:t>
      </w:r>
    </w:p>
    <w:p w14:paraId="0CE99487">
      <w:pPr>
        <w:spacing w:line="200" w:lineRule="exact"/>
        <w:ind w:firstLine="280"/>
        <w:jc w:val="left"/>
      </w:pPr>
      <w:r>
        <w:rPr>
          <w:rFonts w:ascii="方正黑体_GBK" w:hAnsi="方正黑体_GBK" w:eastAsia="方正黑体_GBK" w:cs="宋体"/>
          <w:sz w:val="15"/>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14:paraId="7A2449DF">
      <w:pPr>
        <w:spacing w:line="200" w:lineRule="exact"/>
        <w:ind w:firstLine="300"/>
        <w:jc w:val="both"/>
      </w:pPr>
      <w:r>
        <w:rPr>
          <w:rFonts w:ascii="方正黑体_GBK" w:hAnsi="方正黑体_GBK" w:eastAsia="方正黑体_GBK" w:cs="宋体"/>
          <w:sz w:val="15"/>
          <w:szCs w:val="20"/>
        </w:rPr>
        <w:t>（六）估值错误及暂停估值</w:t>
      </w:r>
    </w:p>
    <w:p w14:paraId="7E879E33">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14:paraId="7DC0EB1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5281C2DD">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6273F5A7">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6A9020BA">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0311FE3E">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37A1D79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按月</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0640A0F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0BD720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74A56B23">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29C84F3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404F013C">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5AFAF12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74CD429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67C241F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4AAC776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0A38BD8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79916D9C">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7E896E7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22F6546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71A0F4A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032619D5">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721344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47694A0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46E46D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5AE0B2D6">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31EF5FC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2C41DAC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6F98D81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14BB7059">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6DAE309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00C0978C">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612EA68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7DD2F47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6552FF1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2D74275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287E06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3FD9E85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02D5F119">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定期开放式、固定收益类、公募、净值型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78FC6C81">
      <w:pPr>
        <w:pStyle w:val="6"/>
        <w:rPr>
          <w:rFonts w:hint="eastAsia" w:ascii="方正黑体_GBK" w:hAnsi="方正黑体_GBK" w:eastAsia="方正黑体_GBK"/>
          <w:b/>
          <w:bCs/>
          <w:color w:val="3D3D3D"/>
          <w:kern w:val="0"/>
          <w:sz w:val="15"/>
          <w:szCs w:val="15"/>
        </w:rPr>
      </w:pPr>
    </w:p>
    <w:p w14:paraId="7A9E9BD8">
      <w:pPr>
        <w:rPr>
          <w:rFonts w:hint="eastAsia" w:ascii="方正黑体_GBK" w:hAnsi="方正黑体_GBK" w:eastAsia="方正黑体_GBK"/>
          <w:b/>
          <w:bCs/>
          <w:color w:val="3D3D3D"/>
          <w:kern w:val="0"/>
          <w:sz w:val="15"/>
          <w:szCs w:val="15"/>
        </w:rPr>
      </w:pPr>
    </w:p>
    <w:p w14:paraId="02A0353E">
      <w:pPr>
        <w:rPr>
          <w:rFonts w:hint="eastAsia" w:ascii="方正黑体_GBK" w:hAnsi="方正黑体_GBK" w:eastAsia="方正黑体_GBK"/>
          <w:b/>
          <w:bCs/>
          <w:color w:val="3D3D3D"/>
          <w:kern w:val="0"/>
          <w:sz w:val="15"/>
          <w:szCs w:val="15"/>
        </w:rPr>
      </w:pPr>
    </w:p>
    <w:p w14:paraId="2599E3AE">
      <w:pPr>
        <w:rPr>
          <w:rFonts w:hint="eastAsia" w:ascii="方正黑体_GBK" w:hAnsi="方正黑体_GBK" w:eastAsia="方正黑体_GBK"/>
          <w:b/>
          <w:bCs/>
          <w:color w:val="3D3D3D"/>
          <w:kern w:val="0"/>
          <w:sz w:val="15"/>
          <w:szCs w:val="15"/>
        </w:rPr>
      </w:pPr>
    </w:p>
    <w:p w14:paraId="5D80E150">
      <w:pPr>
        <w:rPr>
          <w:rFonts w:hint="eastAsia" w:ascii="方正黑体_GBK" w:hAnsi="方正黑体_GBK" w:eastAsia="方正黑体_GBK"/>
          <w:b/>
          <w:bCs/>
          <w:color w:val="3D3D3D"/>
          <w:kern w:val="0"/>
          <w:sz w:val="15"/>
          <w:szCs w:val="15"/>
        </w:rPr>
      </w:pPr>
    </w:p>
    <w:p w14:paraId="65143D93">
      <w:pPr>
        <w:rPr>
          <w:rFonts w:hint="eastAsia" w:ascii="方正黑体_GBK" w:hAnsi="方正黑体_GBK" w:eastAsia="方正黑体_GBK"/>
          <w:b/>
          <w:bCs/>
          <w:color w:val="3D3D3D"/>
          <w:kern w:val="0"/>
          <w:sz w:val="15"/>
          <w:szCs w:val="15"/>
        </w:rPr>
      </w:pPr>
    </w:p>
    <w:p w14:paraId="79B876C8">
      <w:pPr>
        <w:rPr>
          <w:rFonts w:hint="eastAsia" w:ascii="方正黑体_GBK" w:hAnsi="方正黑体_GBK" w:eastAsia="方正黑体_GBK"/>
          <w:b/>
          <w:bCs/>
          <w:color w:val="3D3D3D"/>
          <w:kern w:val="0"/>
          <w:sz w:val="15"/>
          <w:szCs w:val="15"/>
        </w:rPr>
      </w:pPr>
    </w:p>
    <w:p w14:paraId="76FDD2D2">
      <w:pPr>
        <w:rPr>
          <w:rFonts w:hint="eastAsia" w:ascii="方正黑体_GBK" w:hAnsi="方正黑体_GBK" w:eastAsia="方正黑体_GBK"/>
          <w:b/>
          <w:bCs/>
          <w:color w:val="3D3D3D"/>
          <w:kern w:val="0"/>
          <w:sz w:val="15"/>
          <w:szCs w:val="15"/>
        </w:rPr>
      </w:pPr>
    </w:p>
    <w:p w14:paraId="19E835E4">
      <w:pPr>
        <w:rPr>
          <w:rFonts w:hint="eastAsia" w:ascii="方正黑体_GBK" w:hAnsi="方正黑体_GBK" w:eastAsia="方正黑体_GBK"/>
          <w:b/>
          <w:bCs/>
          <w:color w:val="3D3D3D"/>
          <w:kern w:val="0"/>
          <w:sz w:val="15"/>
          <w:szCs w:val="15"/>
        </w:rPr>
      </w:pPr>
    </w:p>
    <w:p w14:paraId="71D74B40">
      <w:pPr>
        <w:rPr>
          <w:rFonts w:hint="eastAsia" w:ascii="方正黑体_GBK" w:hAnsi="方正黑体_GBK" w:eastAsia="方正黑体_GBK"/>
          <w:b/>
          <w:bCs/>
          <w:color w:val="3D3D3D"/>
          <w:kern w:val="0"/>
          <w:sz w:val="15"/>
          <w:szCs w:val="15"/>
        </w:rPr>
      </w:pPr>
    </w:p>
    <w:p w14:paraId="4234292C">
      <w:pPr>
        <w:rPr>
          <w:rFonts w:hint="eastAsia" w:ascii="方正黑体_GBK" w:hAnsi="方正黑体_GBK" w:eastAsia="方正黑体_GBK"/>
          <w:b/>
          <w:bCs/>
          <w:color w:val="3D3D3D"/>
          <w:kern w:val="0"/>
          <w:sz w:val="15"/>
          <w:szCs w:val="15"/>
        </w:rPr>
      </w:pPr>
    </w:p>
    <w:p w14:paraId="3D1245AC">
      <w:pPr>
        <w:rPr>
          <w:rFonts w:hint="eastAsia" w:ascii="方正黑体_GBK" w:hAnsi="方正黑体_GBK" w:eastAsia="方正黑体_GBK"/>
          <w:b/>
          <w:bCs/>
          <w:color w:val="3D3D3D"/>
          <w:kern w:val="0"/>
          <w:sz w:val="15"/>
          <w:szCs w:val="15"/>
        </w:rPr>
      </w:pPr>
    </w:p>
    <w:p w14:paraId="557B7798">
      <w:pPr>
        <w:rPr>
          <w:rFonts w:hint="eastAsia" w:ascii="方正黑体_GBK" w:hAnsi="方正黑体_GBK" w:eastAsia="方正黑体_GBK"/>
          <w:b/>
          <w:bCs/>
          <w:color w:val="3D3D3D"/>
          <w:kern w:val="0"/>
          <w:sz w:val="15"/>
          <w:szCs w:val="15"/>
        </w:rPr>
      </w:pPr>
    </w:p>
    <w:p w14:paraId="46081ABA">
      <w:pPr>
        <w:rPr>
          <w:rFonts w:hint="eastAsia" w:ascii="方正黑体_GBK" w:hAnsi="方正黑体_GBK" w:eastAsia="方正黑体_GBK"/>
          <w:b/>
          <w:bCs/>
          <w:color w:val="3D3D3D"/>
          <w:kern w:val="0"/>
          <w:sz w:val="15"/>
          <w:szCs w:val="15"/>
        </w:rPr>
      </w:pPr>
    </w:p>
    <w:p w14:paraId="31603BB0">
      <w:pPr>
        <w:rPr>
          <w:rFonts w:hint="eastAsia" w:ascii="方正黑体_GBK" w:hAnsi="方正黑体_GBK" w:eastAsia="方正黑体_GBK"/>
          <w:b/>
          <w:bCs/>
          <w:color w:val="3D3D3D"/>
          <w:kern w:val="0"/>
          <w:sz w:val="15"/>
          <w:szCs w:val="15"/>
        </w:rPr>
      </w:pPr>
    </w:p>
    <w:p w14:paraId="10E60197">
      <w:pPr>
        <w:rPr>
          <w:rFonts w:hint="eastAsia" w:ascii="方正黑体_GBK" w:hAnsi="方正黑体_GBK" w:eastAsia="方正黑体_GBK"/>
          <w:b/>
          <w:bCs/>
          <w:color w:val="3D3D3D"/>
          <w:kern w:val="0"/>
          <w:sz w:val="15"/>
          <w:szCs w:val="15"/>
        </w:rPr>
      </w:pPr>
    </w:p>
    <w:p w14:paraId="4554E6E9">
      <w:pPr>
        <w:rPr>
          <w:rFonts w:hint="eastAsia" w:ascii="方正黑体_GBK" w:hAnsi="方正黑体_GBK" w:eastAsia="方正黑体_GBK"/>
          <w:b/>
          <w:bCs/>
          <w:color w:val="3D3D3D"/>
          <w:kern w:val="0"/>
          <w:sz w:val="15"/>
          <w:szCs w:val="15"/>
        </w:rPr>
      </w:pPr>
    </w:p>
    <w:p w14:paraId="69451D8E">
      <w:pPr>
        <w:rPr>
          <w:rFonts w:hint="eastAsia" w:ascii="方正黑体_GBK" w:hAnsi="方正黑体_GBK" w:eastAsia="方正黑体_GBK"/>
          <w:b/>
          <w:bCs/>
          <w:color w:val="3D3D3D"/>
          <w:kern w:val="0"/>
          <w:sz w:val="15"/>
          <w:szCs w:val="15"/>
        </w:rPr>
      </w:pPr>
    </w:p>
    <w:p w14:paraId="258504B9">
      <w:pPr>
        <w:rPr>
          <w:rFonts w:hint="eastAsia" w:ascii="方正黑体_GBK" w:hAnsi="方正黑体_GBK" w:eastAsia="方正黑体_GBK"/>
          <w:b/>
          <w:bCs/>
          <w:color w:val="3D3D3D"/>
          <w:kern w:val="0"/>
          <w:sz w:val="15"/>
          <w:szCs w:val="15"/>
        </w:rPr>
      </w:pPr>
      <w:bookmarkStart w:id="0" w:name="_GoBack"/>
      <w:bookmarkEnd w:id="0"/>
    </w:p>
    <w:p w14:paraId="70A80927">
      <w:pPr>
        <w:rPr>
          <w:rFonts w:hint="eastAsia" w:ascii="方正黑体_GBK" w:hAnsi="方正黑体_GBK" w:eastAsia="方正黑体_GBK"/>
          <w:b/>
          <w:bCs/>
          <w:color w:val="3D3D3D"/>
          <w:kern w:val="0"/>
          <w:sz w:val="15"/>
          <w:szCs w:val="15"/>
        </w:rPr>
      </w:pPr>
    </w:p>
    <w:p w14:paraId="33F0588E">
      <w:pPr>
        <w:jc w:val="center"/>
        <w:rPr>
          <w:rFonts w:ascii="黑体" w:hAnsi="宋体" w:eastAsia="黑体"/>
          <w:b/>
          <w:bCs/>
          <w:sz w:val="24"/>
          <w:szCs w:val="15"/>
        </w:rPr>
      </w:pPr>
      <w:r>
        <w:rPr>
          <w:rFonts w:hint="eastAsia" w:ascii="黑体" w:hAnsi="宋体" w:eastAsia="黑体"/>
          <w:b/>
          <w:bCs/>
          <w:sz w:val="24"/>
          <w:szCs w:val="15"/>
        </w:rPr>
        <w:t>投资者权益须知</w:t>
      </w:r>
    </w:p>
    <w:p w14:paraId="69EE7CE3">
      <w:pPr>
        <w:ind w:firstLine="321" w:firstLineChars="200"/>
        <w:jc w:val="center"/>
        <w:rPr>
          <w:rFonts w:hint="eastAsia" w:ascii="宋体" w:hAnsi="宋体" w:eastAsia="宋体"/>
          <w:b/>
          <w:i/>
          <w:sz w:val="16"/>
          <w:szCs w:val="15"/>
          <w:u w:val="single"/>
        </w:rPr>
      </w:pPr>
    </w:p>
    <w:p w14:paraId="695DB7F3">
      <w:pPr>
        <w:ind w:firstLine="320" w:firstLineChars="200"/>
        <w:jc w:val="center"/>
        <w:rPr>
          <w:rFonts w:hint="eastAsia"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0B745AFB">
      <w:pPr>
        <w:pStyle w:val="14"/>
        <w:spacing w:before="0" w:after="0" w:line="240" w:lineRule="auto"/>
        <w:ind w:firstLine="0"/>
        <w:rPr>
          <w:rFonts w:hint="eastAsia"/>
          <w:spacing w:val="10"/>
          <w:sz w:val="15"/>
          <w:szCs w:val="15"/>
        </w:rPr>
      </w:pPr>
      <w:r>
        <w:rPr>
          <w:rFonts w:hint="eastAsia"/>
          <w:spacing w:val="10"/>
          <w:sz w:val="15"/>
          <w:szCs w:val="15"/>
        </w:rPr>
        <w:t>尊敬的投资者：</w:t>
      </w:r>
    </w:p>
    <w:p w14:paraId="4EA71B0A">
      <w:pPr>
        <w:pStyle w:val="14"/>
        <w:spacing w:before="0" w:after="0" w:line="240" w:lineRule="auto"/>
        <w:ind w:firstLine="340" w:firstLineChars="20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E704E6F">
      <w:pPr>
        <w:pStyle w:val="14"/>
        <w:spacing w:before="0" w:after="0" w:line="240" w:lineRule="auto"/>
        <w:ind w:firstLine="340" w:firstLineChars="20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14:paraId="4F76F9FD">
      <w:pPr>
        <w:pStyle w:val="14"/>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14:paraId="0E778C55">
      <w:pPr>
        <w:pStyle w:val="14"/>
        <w:spacing w:before="0" w:after="0" w:line="240" w:lineRule="auto"/>
        <w:ind w:firstLine="340" w:firstLineChars="20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1BBFFE38">
      <w:pPr>
        <w:pStyle w:val="14"/>
        <w:spacing w:before="0" w:after="0" w:line="240" w:lineRule="auto"/>
        <w:ind w:firstLine="338" w:firstLineChars="199"/>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14:paraId="2A03C7E0">
      <w:pPr>
        <w:pStyle w:val="14"/>
        <w:spacing w:before="0" w:after="0" w:line="240" w:lineRule="auto"/>
        <w:ind w:firstLine="338" w:firstLineChars="199"/>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14:paraId="0F4C7698">
      <w:pPr>
        <w:pStyle w:val="14"/>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14:paraId="66A5DB9B">
      <w:pPr>
        <w:pStyle w:val="14"/>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14:paraId="1639AFFA">
      <w:pPr>
        <w:pStyle w:val="14"/>
        <w:spacing w:before="0" w:after="0" w:line="240" w:lineRule="auto"/>
        <w:ind w:firstLine="340" w:firstLineChars="200"/>
        <w:jc w:val="both"/>
        <w:rPr>
          <w:bCs/>
          <w:spacing w:val="10"/>
          <w:sz w:val="15"/>
          <w:szCs w:val="15"/>
        </w:rPr>
      </w:pPr>
      <w:r>
        <w:rPr>
          <w:bCs/>
          <w:spacing w:val="10"/>
          <w:sz w:val="15"/>
          <w:szCs w:val="15"/>
        </w:rPr>
        <w:t>1</w:t>
      </w:r>
      <w:r>
        <w:rPr>
          <w:rFonts w:hint="eastAsia"/>
          <w:bCs/>
          <w:spacing w:val="10"/>
          <w:sz w:val="15"/>
          <w:szCs w:val="15"/>
        </w:rPr>
        <w:t>、理财签约</w:t>
      </w:r>
    </w:p>
    <w:p w14:paraId="5E524077">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32C88327">
      <w:pPr>
        <w:pStyle w:val="14"/>
        <w:spacing w:before="0" w:after="0" w:line="240" w:lineRule="auto"/>
        <w:ind w:firstLine="340" w:firstLineChars="200"/>
        <w:jc w:val="both"/>
        <w:rPr>
          <w:bCs/>
          <w:spacing w:val="10"/>
          <w:sz w:val="15"/>
          <w:szCs w:val="15"/>
        </w:rPr>
      </w:pPr>
      <w:r>
        <w:rPr>
          <w:rFonts w:hint="eastAsia"/>
          <w:bCs/>
          <w:spacing w:val="10"/>
          <w:sz w:val="15"/>
          <w:szCs w:val="15"/>
        </w:rPr>
        <w:t>投资者按照代销机构的要求进行理财签约。</w:t>
      </w:r>
    </w:p>
    <w:p w14:paraId="2388C86C">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48F27B81">
      <w:pPr>
        <w:pStyle w:val="14"/>
        <w:spacing w:before="0" w:after="0" w:line="240" w:lineRule="auto"/>
        <w:ind w:firstLine="340" w:firstLineChars="200"/>
        <w:jc w:val="both"/>
        <w:rPr>
          <w:bCs/>
          <w:spacing w:val="10"/>
          <w:sz w:val="15"/>
          <w:szCs w:val="15"/>
        </w:rPr>
      </w:pPr>
      <w:r>
        <w:rPr>
          <w:rFonts w:hint="eastAsia"/>
          <w:bCs/>
          <w:spacing w:val="10"/>
          <w:sz w:val="15"/>
          <w:szCs w:val="15"/>
        </w:rPr>
        <w:t>首次购买理财的个人投资者须进行风险承受能力评估（详见第二条）和理财签约。</w:t>
      </w:r>
    </w:p>
    <w:p w14:paraId="27FA4115">
      <w:pPr>
        <w:pStyle w:val="14"/>
        <w:spacing w:before="0" w:after="0" w:line="240" w:lineRule="auto"/>
        <w:ind w:firstLine="340" w:firstLineChars="20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14:paraId="0B38F1D7">
      <w:pPr>
        <w:pStyle w:val="14"/>
        <w:spacing w:before="0" w:after="0" w:line="240" w:lineRule="auto"/>
        <w:ind w:firstLine="340" w:firstLineChars="20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14:paraId="10145843">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14:paraId="6A58E5EB">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1E6BE55D">
      <w:pPr>
        <w:pStyle w:val="14"/>
        <w:spacing w:before="0" w:after="0" w:line="240" w:lineRule="auto"/>
        <w:ind w:firstLine="340" w:firstLineChars="20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14:paraId="26826235">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0591466D">
      <w:pPr>
        <w:pStyle w:val="14"/>
        <w:spacing w:before="0" w:after="0" w:line="240" w:lineRule="auto"/>
        <w:ind w:firstLine="340" w:firstLineChars="200"/>
        <w:jc w:val="both"/>
        <w:rPr>
          <w:bCs/>
          <w:spacing w:val="10"/>
          <w:sz w:val="15"/>
          <w:szCs w:val="15"/>
        </w:rPr>
      </w:pPr>
      <w:r>
        <w:rPr>
          <w:rFonts w:hint="eastAsia"/>
          <w:bCs/>
          <w:spacing w:val="10"/>
          <w:sz w:val="15"/>
          <w:szCs w:val="15"/>
        </w:rPr>
        <w:t>如个人投资者选择在代销机构营业网点购买理财产品，流程如下：</w:t>
      </w:r>
    </w:p>
    <w:p w14:paraId="3A5BF163">
      <w:pPr>
        <w:pStyle w:val="14"/>
        <w:spacing w:before="0" w:after="0" w:line="240" w:lineRule="auto"/>
        <w:ind w:firstLine="340" w:firstLineChars="20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A8D7DFA">
      <w:pPr>
        <w:pStyle w:val="14"/>
        <w:spacing w:before="0" w:after="0" w:line="240" w:lineRule="auto"/>
        <w:ind w:firstLine="340" w:firstLineChars="20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14:paraId="6544B109">
      <w:pPr>
        <w:pStyle w:val="14"/>
        <w:spacing w:before="0" w:after="0" w:line="240" w:lineRule="auto"/>
        <w:ind w:firstLine="340" w:firstLineChars="20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14:paraId="20A7F7CF">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14:paraId="57958D57">
      <w:pPr>
        <w:pStyle w:val="14"/>
        <w:spacing w:before="0" w:after="0" w:line="240" w:lineRule="auto"/>
        <w:ind w:firstLine="340" w:firstLineChars="20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14:paraId="4EB5D6FC">
      <w:pPr>
        <w:pStyle w:val="14"/>
        <w:spacing w:before="0" w:after="0" w:line="240" w:lineRule="auto"/>
        <w:ind w:firstLine="340" w:firstLineChars="20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14:paraId="676D2FC5">
      <w:pPr>
        <w:pStyle w:val="14"/>
        <w:spacing w:before="0" w:after="0" w:line="240" w:lineRule="auto"/>
        <w:ind w:firstLine="340" w:firstLineChars="20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14:paraId="642E432C">
      <w:pPr>
        <w:pStyle w:val="14"/>
        <w:spacing w:before="0" w:after="0" w:line="240" w:lineRule="auto"/>
        <w:ind w:firstLine="340" w:firstLineChars="20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14:paraId="02C08EBA">
      <w:pPr>
        <w:pStyle w:val="14"/>
        <w:spacing w:before="0" w:after="0" w:line="240" w:lineRule="auto"/>
        <w:ind w:firstLine="340" w:firstLineChars="200"/>
        <w:jc w:val="both"/>
        <w:rPr>
          <w:bCs/>
          <w:spacing w:val="10"/>
          <w:sz w:val="15"/>
          <w:szCs w:val="15"/>
        </w:rPr>
      </w:pPr>
      <w:r>
        <w:rPr>
          <w:rFonts w:hint="eastAsia"/>
          <w:bCs/>
          <w:spacing w:val="10"/>
          <w:sz w:val="15"/>
          <w:szCs w:val="15"/>
        </w:rPr>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52096327">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33C8CDE">
      <w:pPr>
        <w:pStyle w:val="14"/>
        <w:spacing w:before="0" w:after="0" w:line="240" w:lineRule="auto"/>
        <w:ind w:firstLine="341" w:firstLineChars="200"/>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14:paraId="1609CF3E">
      <w:pPr>
        <w:pStyle w:val="14"/>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14:paraId="41CB2EEE">
      <w:pPr>
        <w:pStyle w:val="14"/>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14:paraId="693A319D">
      <w:pPr>
        <w:pStyle w:val="14"/>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7979CF16">
      <w:pPr>
        <w:pStyle w:val="14"/>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14:paraId="628033F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14:paraId="58378D6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14:paraId="7F5241E9">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14:paraId="1E1F234C">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14:paraId="0E394E6D">
      <w:pPr>
        <w:pStyle w:val="14"/>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14:paraId="404C1338">
      <w:pPr>
        <w:pStyle w:val="14"/>
        <w:spacing w:before="0" w:after="0" w:line="240" w:lineRule="auto"/>
        <w:ind w:firstLine="340" w:firstLineChars="20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14:paraId="139DFADF">
      <w:pPr>
        <w:pStyle w:val="14"/>
        <w:spacing w:before="0" w:after="0" w:line="240" w:lineRule="auto"/>
        <w:ind w:firstLine="340" w:firstLineChars="20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14:paraId="7447DEFF">
      <w:pPr>
        <w:pStyle w:val="14"/>
        <w:spacing w:before="0" w:after="0" w:line="240" w:lineRule="auto"/>
        <w:ind w:firstLine="340" w:firstLineChars="200"/>
        <w:rPr>
          <w:bCs/>
          <w:spacing w:val="10"/>
          <w:sz w:val="15"/>
          <w:szCs w:val="15"/>
        </w:rPr>
      </w:pPr>
      <w:r>
        <w:rPr>
          <w:rFonts w:hint="eastAsia"/>
          <w:bCs/>
          <w:spacing w:val="10"/>
          <w:sz w:val="15"/>
          <w:szCs w:val="15"/>
        </w:rPr>
        <w:t>（二）中低（二级）：风险承受能力较弱，以获取相对稳定的收益为主要目标，愿意承受较低的本金损失；</w:t>
      </w:r>
    </w:p>
    <w:p w14:paraId="071EAECA">
      <w:pPr>
        <w:pStyle w:val="14"/>
        <w:spacing w:before="0" w:after="0" w:line="240" w:lineRule="auto"/>
        <w:ind w:firstLine="340" w:firstLineChars="200"/>
        <w:rPr>
          <w:bCs/>
          <w:spacing w:val="10"/>
          <w:sz w:val="15"/>
          <w:szCs w:val="15"/>
        </w:rPr>
      </w:pPr>
      <w:r>
        <w:rPr>
          <w:rFonts w:hint="eastAsia"/>
          <w:bCs/>
          <w:spacing w:val="10"/>
          <w:sz w:val="15"/>
          <w:szCs w:val="15"/>
        </w:rPr>
        <w:t>（三）中（三级）：风险承受能力中等，以获取稳定收益为主要目标，愿意承受相应的本金损失；</w:t>
      </w:r>
    </w:p>
    <w:p w14:paraId="4657EE27">
      <w:pPr>
        <w:pStyle w:val="14"/>
        <w:spacing w:before="0" w:after="0" w:line="240" w:lineRule="auto"/>
        <w:ind w:firstLine="340" w:firstLineChars="200"/>
        <w:rPr>
          <w:bCs/>
          <w:spacing w:val="10"/>
          <w:sz w:val="15"/>
          <w:szCs w:val="15"/>
        </w:rPr>
      </w:pPr>
      <w:r>
        <w:rPr>
          <w:rFonts w:hint="eastAsia"/>
          <w:bCs/>
          <w:spacing w:val="10"/>
          <w:sz w:val="15"/>
          <w:szCs w:val="15"/>
        </w:rPr>
        <w:t>（四）中高（四级）：风险承受能力较强，以获取较高投资回报为主要目标，愿意承担一定的本金损失；</w:t>
      </w:r>
    </w:p>
    <w:p w14:paraId="0C7FB4EC">
      <w:pPr>
        <w:pStyle w:val="14"/>
        <w:spacing w:before="0" w:after="0" w:line="240" w:lineRule="auto"/>
        <w:ind w:firstLine="340" w:firstLineChars="200"/>
        <w:jc w:val="both"/>
        <w:rPr>
          <w:bCs/>
          <w:spacing w:val="10"/>
          <w:sz w:val="15"/>
          <w:szCs w:val="15"/>
        </w:rPr>
      </w:pPr>
      <w:r>
        <w:rPr>
          <w:rFonts w:hint="eastAsia"/>
          <w:bCs/>
          <w:spacing w:val="10"/>
          <w:sz w:val="15"/>
          <w:szCs w:val="15"/>
        </w:rPr>
        <w:t>（五）高（五级）：风险承受能力强，以获取高投资回报为主要目标，愿意承担较大的本金损失。</w:t>
      </w:r>
    </w:p>
    <w:p w14:paraId="5D50F1F1">
      <w:pPr>
        <w:pStyle w:val="14"/>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14:paraId="493EE279">
      <w:pPr>
        <w:pStyle w:val="14"/>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14:paraId="182B42EF">
      <w:pPr>
        <w:pStyle w:val="14"/>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14:paraId="091F0E63">
      <w:pPr>
        <w:pStyle w:val="14"/>
        <w:spacing w:before="0" w:after="0" w:line="240" w:lineRule="auto"/>
        <w:ind w:firstLine="338" w:firstLineChars="199"/>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14:paraId="248FAE53">
      <w:pPr>
        <w:pStyle w:val="14"/>
        <w:spacing w:before="0" w:after="0" w:line="240" w:lineRule="auto"/>
        <w:ind w:firstLine="338" w:firstLineChars="199"/>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14:paraId="659BEFD2">
      <w:pPr>
        <w:pStyle w:val="14"/>
        <w:spacing w:before="0" w:after="0" w:line="240" w:lineRule="auto"/>
        <w:ind w:firstLine="338" w:firstLineChars="199"/>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14:paraId="0D7BA655">
      <w:pPr>
        <w:pStyle w:val="14"/>
        <w:spacing w:before="0" w:after="0" w:line="240" w:lineRule="auto"/>
        <w:ind w:firstLine="338" w:firstLineChars="199"/>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14:paraId="5E5D5C4D">
      <w:pPr>
        <w:pStyle w:val="14"/>
        <w:spacing w:before="0" w:after="0" w:line="240" w:lineRule="auto"/>
        <w:ind w:firstLine="338" w:firstLineChars="199"/>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14:paraId="4F9023A0">
      <w:pPr>
        <w:pStyle w:val="14"/>
        <w:spacing w:before="0" w:after="0" w:line="240" w:lineRule="auto"/>
        <w:ind w:firstLine="336" w:firstLineChars="198"/>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14:paraId="5A7F090E">
      <w:pPr>
        <w:pStyle w:val="14"/>
        <w:spacing w:before="0" w:after="0" w:line="240" w:lineRule="auto"/>
        <w:ind w:firstLine="338" w:firstLineChars="199"/>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14:paraId="1744AE87">
      <w:pPr>
        <w:pStyle w:val="14"/>
        <w:spacing w:before="0" w:after="0" w:line="240" w:lineRule="auto"/>
        <w:ind w:firstLine="341" w:firstLineChars="200"/>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0303E2EF">
      <w:pPr>
        <w:pStyle w:val="14"/>
        <w:numPr>
          <w:ilvl w:val="0"/>
          <w:numId w:val="5"/>
        </w:numPr>
        <w:spacing w:before="0" w:after="0" w:line="240" w:lineRule="auto"/>
        <w:ind w:firstLine="338" w:firstLineChars="198"/>
        <w:jc w:val="both"/>
        <w:rPr>
          <w:b/>
          <w:bCs/>
          <w:spacing w:val="10"/>
          <w:sz w:val="15"/>
          <w:szCs w:val="15"/>
        </w:rPr>
      </w:pPr>
      <w:r>
        <w:rPr>
          <w:rFonts w:hint="eastAsia"/>
          <w:b/>
          <w:bCs/>
          <w:spacing w:val="10"/>
          <w:sz w:val="15"/>
          <w:szCs w:val="15"/>
        </w:rPr>
        <w:t>个人投资者风险承受能力等级与适合购买的理财产品说明</w:t>
      </w:r>
    </w:p>
    <w:p w14:paraId="10235536">
      <w:pPr>
        <w:pStyle w:val="14"/>
        <w:spacing w:before="0" w:after="0" w:line="240" w:lineRule="auto"/>
        <w:ind w:firstLine="338" w:firstLineChars="198"/>
        <w:jc w:val="both"/>
        <w:rPr>
          <w:b/>
          <w:bCs/>
          <w:spacing w:val="10"/>
          <w:sz w:val="15"/>
          <w:szCs w:val="15"/>
        </w:rPr>
      </w:pPr>
    </w:p>
    <w:p w14:paraId="0D1C084F">
      <w:pPr>
        <w:pStyle w:val="14"/>
        <w:spacing w:before="0" w:after="0" w:line="240" w:lineRule="auto"/>
        <w:ind w:firstLine="338" w:firstLineChars="198"/>
        <w:jc w:val="both"/>
        <w:rPr>
          <w:b/>
          <w:bCs/>
          <w:spacing w:val="10"/>
          <w:sz w:val="15"/>
          <w:szCs w:val="15"/>
        </w:rPr>
      </w:pPr>
    </w:p>
    <w:p w14:paraId="657E4CB1">
      <w:pPr>
        <w:pStyle w:val="14"/>
        <w:spacing w:before="0" w:after="0" w:line="240" w:lineRule="auto"/>
        <w:ind w:firstLine="338" w:firstLineChars="198"/>
        <w:jc w:val="both"/>
        <w:rPr>
          <w:b/>
          <w:bCs/>
          <w:spacing w:val="10"/>
          <w:sz w:val="15"/>
          <w:szCs w:val="15"/>
        </w:rPr>
      </w:pPr>
    </w:p>
    <w:tbl>
      <w:tblPr>
        <w:tblStyle w:val="15"/>
        <w:tblW w:w="0"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4A8A778E">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single" w:color="auto" w:sz="4" w:space="0"/>
              <w:right w:val="single" w:color="auto" w:sz="4" w:space="0"/>
            </w:tcBorders>
            <w:vAlign w:val="center"/>
          </w:tcPr>
          <w:p w14:paraId="5169DD58">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57DF5A0F">
            <w:pPr>
              <w:widowControl/>
              <w:snapToGrid w:val="0"/>
              <w:jc w:val="center"/>
              <w:rPr>
                <w:rFonts w:hint="eastAsia"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73156AD">
            <w:pPr>
              <w:widowControl/>
              <w:snapToGrid w:val="0"/>
              <w:jc w:val="center"/>
              <w:rPr>
                <w:rFonts w:hint="eastAsia" w:ascii="宋体" w:hAnsi="宋体" w:cs="宋体"/>
                <w:kern w:val="0"/>
                <w:sz w:val="15"/>
                <w:szCs w:val="15"/>
              </w:rPr>
            </w:pPr>
            <w:r>
              <w:rPr>
                <w:rFonts w:hint="eastAsia" w:ascii="宋体" w:hAnsi="宋体" w:cs="宋体"/>
                <w:kern w:val="0"/>
                <w:sz w:val="15"/>
                <w:szCs w:val="15"/>
              </w:rPr>
              <w:t>南银理财理财产品风险等级</w:t>
            </w:r>
          </w:p>
        </w:tc>
      </w:tr>
      <w:tr w14:paraId="65114BCD">
        <w:tblPrEx>
          <w:tblCellMar>
            <w:top w:w="0" w:type="dxa"/>
            <w:left w:w="108" w:type="dxa"/>
            <w:bottom w:w="0" w:type="dxa"/>
            <w:right w:w="108" w:type="dxa"/>
          </w:tblCellMar>
        </w:tblPrEx>
        <w:trPr>
          <w:trHeight w:val="735" w:hRule="atLeast"/>
          <w:jc w:val="center"/>
        </w:trPr>
        <w:tc>
          <w:tcPr>
            <w:tcW w:w="1866" w:type="dxa"/>
            <w:vMerge w:val="continue"/>
            <w:tcBorders>
              <w:top w:val="single" w:color="auto" w:sz="4" w:space="0"/>
              <w:left w:val="single" w:color="auto" w:sz="4" w:space="0"/>
              <w:bottom w:val="single" w:color="auto" w:sz="4" w:space="0"/>
              <w:right w:val="single" w:color="auto" w:sz="4" w:space="0"/>
            </w:tcBorders>
            <w:vAlign w:val="center"/>
          </w:tcPr>
          <w:p w14:paraId="09FBEACE">
            <w:pPr>
              <w:widowControl/>
              <w:jc w:val="left"/>
              <w:rPr>
                <w:rFonts w:ascii="宋体" w:hAnsi="宋体" w:eastAsia="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22357BDB">
            <w:pPr>
              <w:widowControl/>
              <w:snapToGrid w:val="0"/>
              <w:jc w:val="center"/>
              <w:rPr>
                <w:rFonts w:hint="eastAsia" w:ascii="宋体" w:hAnsi="宋体" w:cs="宋体"/>
                <w:kern w:val="0"/>
                <w:sz w:val="15"/>
                <w:szCs w:val="15"/>
              </w:rPr>
            </w:pPr>
            <w:r>
              <w:rPr>
                <w:rFonts w:hint="eastAsia" w:ascii="宋体" w:hAnsi="宋体" w:cs="宋体"/>
                <w:kern w:val="0"/>
                <w:sz w:val="15"/>
                <w:szCs w:val="15"/>
              </w:rPr>
              <w:t>低风险</w:t>
            </w:r>
          </w:p>
          <w:p w14:paraId="3B1CB75E">
            <w:pPr>
              <w:widowControl/>
              <w:snapToGrid w:val="0"/>
              <w:jc w:val="center"/>
              <w:rPr>
                <w:rFonts w:hint="eastAsia" w:ascii="宋体" w:hAnsi="宋体" w:cs="宋体"/>
                <w:kern w:val="0"/>
                <w:sz w:val="15"/>
                <w:szCs w:val="15"/>
              </w:rPr>
            </w:pPr>
            <w:r>
              <w:rPr>
                <w:rFonts w:hint="eastAsia" w:ascii="宋体" w:hAnsi="宋体" w:cs="宋体"/>
                <w:kern w:val="0"/>
                <w:sz w:val="15"/>
                <w:szCs w:val="15"/>
              </w:rPr>
              <w:t>（PR1）</w:t>
            </w:r>
          </w:p>
        </w:tc>
        <w:tc>
          <w:tcPr>
            <w:tcW w:w="816" w:type="dxa"/>
            <w:tcBorders>
              <w:top w:val="single" w:color="auto" w:sz="4" w:space="0"/>
              <w:left w:val="nil"/>
              <w:bottom w:val="single" w:color="auto" w:sz="4" w:space="0"/>
              <w:right w:val="single" w:color="auto" w:sz="4" w:space="0"/>
            </w:tcBorders>
            <w:vAlign w:val="center"/>
          </w:tcPr>
          <w:p w14:paraId="69AD4C66">
            <w:pPr>
              <w:widowControl/>
              <w:snapToGrid w:val="0"/>
              <w:jc w:val="center"/>
              <w:rPr>
                <w:rFonts w:hint="eastAsia" w:ascii="宋体" w:hAnsi="宋体" w:cs="宋体"/>
                <w:kern w:val="0"/>
                <w:sz w:val="15"/>
                <w:szCs w:val="15"/>
              </w:rPr>
            </w:pPr>
            <w:r>
              <w:rPr>
                <w:rFonts w:hint="eastAsia" w:ascii="宋体" w:hAnsi="宋体" w:cs="宋体"/>
                <w:kern w:val="0"/>
                <w:sz w:val="15"/>
                <w:szCs w:val="15"/>
              </w:rPr>
              <w:t>中低风险</w:t>
            </w:r>
          </w:p>
          <w:p w14:paraId="5FBD2489">
            <w:pPr>
              <w:widowControl/>
              <w:snapToGrid w:val="0"/>
              <w:jc w:val="center"/>
              <w:rPr>
                <w:rFonts w:hint="eastAsia" w:ascii="宋体" w:hAnsi="宋体" w:cs="宋体"/>
                <w:kern w:val="0"/>
                <w:sz w:val="15"/>
                <w:szCs w:val="15"/>
              </w:rPr>
            </w:pPr>
            <w:r>
              <w:rPr>
                <w:rFonts w:hint="eastAsia" w:ascii="宋体" w:hAnsi="宋体" w:cs="宋体"/>
                <w:kern w:val="0"/>
                <w:sz w:val="15"/>
                <w:szCs w:val="15"/>
              </w:rPr>
              <w:t>（PR2）</w:t>
            </w:r>
          </w:p>
        </w:tc>
        <w:tc>
          <w:tcPr>
            <w:tcW w:w="816" w:type="dxa"/>
            <w:tcBorders>
              <w:top w:val="single" w:color="auto" w:sz="4" w:space="0"/>
              <w:left w:val="nil"/>
              <w:bottom w:val="single" w:color="auto" w:sz="4" w:space="0"/>
              <w:right w:val="single" w:color="auto" w:sz="4" w:space="0"/>
            </w:tcBorders>
            <w:vAlign w:val="center"/>
          </w:tcPr>
          <w:p w14:paraId="75F659E0">
            <w:pPr>
              <w:widowControl/>
              <w:snapToGrid w:val="0"/>
              <w:jc w:val="center"/>
              <w:rPr>
                <w:rFonts w:hint="eastAsia" w:ascii="宋体" w:hAnsi="宋体" w:cs="宋体"/>
                <w:kern w:val="0"/>
                <w:sz w:val="15"/>
                <w:szCs w:val="15"/>
              </w:rPr>
            </w:pPr>
            <w:r>
              <w:rPr>
                <w:rFonts w:hint="eastAsia" w:ascii="宋体" w:hAnsi="宋体" w:cs="宋体"/>
                <w:kern w:val="0"/>
                <w:sz w:val="15"/>
                <w:szCs w:val="15"/>
              </w:rPr>
              <w:t>中等风险</w:t>
            </w:r>
          </w:p>
          <w:p w14:paraId="11CC9A8C">
            <w:pPr>
              <w:widowControl/>
              <w:snapToGrid w:val="0"/>
              <w:jc w:val="center"/>
              <w:rPr>
                <w:rFonts w:hint="eastAsia" w:ascii="宋体" w:hAnsi="宋体" w:cs="宋体"/>
                <w:kern w:val="0"/>
                <w:sz w:val="15"/>
                <w:szCs w:val="15"/>
              </w:rPr>
            </w:pPr>
            <w:r>
              <w:rPr>
                <w:rFonts w:hint="eastAsia" w:ascii="宋体" w:hAnsi="宋体" w:cs="宋体"/>
                <w:kern w:val="0"/>
                <w:sz w:val="15"/>
                <w:szCs w:val="15"/>
              </w:rPr>
              <w:t>（PR3）</w:t>
            </w:r>
          </w:p>
        </w:tc>
        <w:tc>
          <w:tcPr>
            <w:tcW w:w="816" w:type="dxa"/>
            <w:tcBorders>
              <w:top w:val="single" w:color="auto" w:sz="4" w:space="0"/>
              <w:left w:val="nil"/>
              <w:bottom w:val="single" w:color="auto" w:sz="4" w:space="0"/>
              <w:right w:val="single" w:color="auto" w:sz="4" w:space="0"/>
            </w:tcBorders>
            <w:vAlign w:val="center"/>
          </w:tcPr>
          <w:p w14:paraId="272C7A7C">
            <w:pPr>
              <w:widowControl/>
              <w:snapToGrid w:val="0"/>
              <w:jc w:val="center"/>
              <w:rPr>
                <w:rFonts w:hint="eastAsia" w:ascii="宋体" w:hAnsi="宋体" w:cs="宋体"/>
                <w:kern w:val="0"/>
                <w:sz w:val="15"/>
                <w:szCs w:val="15"/>
              </w:rPr>
            </w:pPr>
            <w:r>
              <w:rPr>
                <w:rFonts w:hint="eastAsia" w:ascii="宋体" w:hAnsi="宋体" w:cs="宋体"/>
                <w:kern w:val="0"/>
                <w:sz w:val="15"/>
                <w:szCs w:val="15"/>
              </w:rPr>
              <w:t>中高风险</w:t>
            </w:r>
          </w:p>
          <w:p w14:paraId="433E87B3">
            <w:pPr>
              <w:widowControl/>
              <w:snapToGrid w:val="0"/>
              <w:jc w:val="center"/>
              <w:rPr>
                <w:rFonts w:hint="eastAsia" w:ascii="宋体" w:hAnsi="宋体" w:cs="宋体"/>
                <w:kern w:val="0"/>
                <w:sz w:val="15"/>
                <w:szCs w:val="15"/>
              </w:rPr>
            </w:pPr>
            <w:r>
              <w:rPr>
                <w:rFonts w:hint="eastAsia" w:ascii="宋体" w:hAnsi="宋体" w:cs="宋体"/>
                <w:kern w:val="0"/>
                <w:sz w:val="15"/>
                <w:szCs w:val="15"/>
              </w:rPr>
              <w:t>（PR4）</w:t>
            </w:r>
          </w:p>
        </w:tc>
        <w:tc>
          <w:tcPr>
            <w:tcW w:w="741" w:type="dxa"/>
            <w:tcBorders>
              <w:top w:val="single" w:color="auto" w:sz="4" w:space="0"/>
              <w:left w:val="nil"/>
              <w:bottom w:val="single" w:color="auto" w:sz="4" w:space="0"/>
              <w:right w:val="single" w:color="auto" w:sz="4" w:space="0"/>
            </w:tcBorders>
            <w:vAlign w:val="center"/>
          </w:tcPr>
          <w:p w14:paraId="08961217">
            <w:pPr>
              <w:widowControl/>
              <w:snapToGrid w:val="0"/>
              <w:jc w:val="center"/>
              <w:rPr>
                <w:rFonts w:hint="eastAsia" w:ascii="宋体" w:hAnsi="宋体" w:cs="宋体"/>
                <w:kern w:val="0"/>
                <w:sz w:val="15"/>
                <w:szCs w:val="15"/>
              </w:rPr>
            </w:pPr>
            <w:r>
              <w:rPr>
                <w:rFonts w:hint="eastAsia" w:ascii="宋体" w:hAnsi="宋体" w:cs="宋体"/>
                <w:kern w:val="0"/>
                <w:sz w:val="15"/>
                <w:szCs w:val="15"/>
              </w:rPr>
              <w:t>高风险</w:t>
            </w:r>
          </w:p>
          <w:p w14:paraId="65126350">
            <w:pPr>
              <w:widowControl/>
              <w:snapToGrid w:val="0"/>
              <w:jc w:val="center"/>
              <w:rPr>
                <w:rFonts w:hint="eastAsia" w:ascii="宋体" w:hAnsi="宋体" w:cs="宋体"/>
                <w:kern w:val="0"/>
                <w:sz w:val="15"/>
                <w:szCs w:val="15"/>
              </w:rPr>
            </w:pPr>
            <w:r>
              <w:rPr>
                <w:rFonts w:hint="eastAsia" w:ascii="宋体" w:hAnsi="宋体" w:cs="宋体"/>
                <w:kern w:val="0"/>
                <w:sz w:val="15"/>
                <w:szCs w:val="15"/>
              </w:rPr>
              <w:t>（PR5）</w:t>
            </w:r>
          </w:p>
        </w:tc>
      </w:tr>
      <w:tr w14:paraId="585B7C8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17CA7B1D">
            <w:pPr>
              <w:widowControl/>
              <w:snapToGrid w:val="0"/>
              <w:jc w:val="center"/>
              <w:rPr>
                <w:rFonts w:hint="eastAsia"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37F4562E">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78504AC4">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563D20B">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DD35206">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47041C48">
            <w:pPr>
              <w:widowControl/>
              <w:snapToGrid w:val="0"/>
              <w:jc w:val="center"/>
              <w:rPr>
                <w:rFonts w:hint="eastAsia" w:ascii="宋体" w:hAnsi="宋体" w:cs="宋体"/>
                <w:kern w:val="0"/>
                <w:sz w:val="15"/>
                <w:szCs w:val="15"/>
              </w:rPr>
            </w:pPr>
            <w:r>
              <w:rPr>
                <w:rFonts w:hint="eastAsia"/>
                <w:spacing w:val="10"/>
                <w:sz w:val="15"/>
                <w:szCs w:val="15"/>
              </w:rPr>
              <w:t>√</w:t>
            </w:r>
          </w:p>
        </w:tc>
      </w:tr>
      <w:tr w14:paraId="4102E287">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055F2E73">
            <w:pPr>
              <w:widowControl/>
              <w:snapToGrid w:val="0"/>
              <w:jc w:val="center"/>
              <w:rPr>
                <w:rFonts w:hint="eastAsia"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tcPr>
          <w:p w14:paraId="05BF6FC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51B2C2D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415918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832C8F7">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08FD7192">
            <w:pPr>
              <w:widowControl/>
              <w:snapToGrid w:val="0"/>
              <w:jc w:val="center"/>
              <w:rPr>
                <w:rFonts w:hint="eastAsia" w:ascii="宋体" w:hAnsi="宋体" w:cs="宋体"/>
                <w:kern w:val="0"/>
                <w:sz w:val="15"/>
                <w:szCs w:val="15"/>
              </w:rPr>
            </w:pPr>
            <w:r>
              <w:rPr>
                <w:rFonts w:hint="eastAsia"/>
                <w:spacing w:val="10"/>
                <w:sz w:val="15"/>
                <w:szCs w:val="15"/>
              </w:rPr>
              <w:t>×</w:t>
            </w:r>
          </w:p>
        </w:tc>
      </w:tr>
      <w:tr w14:paraId="6E9E94BC">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338719EC">
            <w:pPr>
              <w:widowControl/>
              <w:snapToGrid w:val="0"/>
              <w:jc w:val="center"/>
              <w:rPr>
                <w:rFonts w:hint="eastAsia"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tcPr>
          <w:p w14:paraId="3689E91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4D166A1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05B39A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15DE77BD">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0EF9138D">
            <w:pPr>
              <w:widowControl/>
              <w:snapToGrid w:val="0"/>
              <w:jc w:val="center"/>
              <w:rPr>
                <w:rFonts w:hint="eastAsia" w:ascii="宋体" w:hAnsi="宋体" w:cs="宋体"/>
                <w:kern w:val="0"/>
                <w:sz w:val="15"/>
                <w:szCs w:val="15"/>
              </w:rPr>
            </w:pPr>
            <w:r>
              <w:rPr>
                <w:rFonts w:hint="eastAsia"/>
                <w:spacing w:val="10"/>
                <w:sz w:val="15"/>
                <w:szCs w:val="15"/>
              </w:rPr>
              <w:t>×</w:t>
            </w:r>
          </w:p>
        </w:tc>
      </w:tr>
      <w:tr w14:paraId="4FC83A96">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701C0593">
            <w:pPr>
              <w:widowControl/>
              <w:snapToGrid w:val="0"/>
              <w:jc w:val="center"/>
              <w:rPr>
                <w:rFonts w:hint="eastAsia"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tcPr>
          <w:p w14:paraId="7BD80472">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tcPr>
          <w:p w14:paraId="275D6C3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1B813C59">
            <w:pPr>
              <w:widowControl/>
              <w:snapToGrid w:val="0"/>
              <w:jc w:val="center"/>
              <w:rPr>
                <w:rFonts w:hint="eastAsia"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C74B948">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019312D0">
            <w:pPr>
              <w:widowControl/>
              <w:snapToGrid w:val="0"/>
              <w:jc w:val="center"/>
              <w:rPr>
                <w:rFonts w:hint="eastAsia" w:ascii="宋体" w:hAnsi="宋体" w:cs="宋体"/>
                <w:kern w:val="0"/>
                <w:sz w:val="15"/>
                <w:szCs w:val="15"/>
              </w:rPr>
            </w:pPr>
            <w:r>
              <w:rPr>
                <w:rFonts w:hint="eastAsia"/>
                <w:spacing w:val="10"/>
                <w:sz w:val="15"/>
                <w:szCs w:val="15"/>
              </w:rPr>
              <w:t>×</w:t>
            </w:r>
          </w:p>
        </w:tc>
      </w:tr>
      <w:tr w14:paraId="44996925">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6428243A">
            <w:pPr>
              <w:widowControl/>
              <w:snapToGrid w:val="0"/>
              <w:jc w:val="center"/>
              <w:rPr>
                <w:rFonts w:hint="eastAsia"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tcPr>
          <w:p w14:paraId="30E8FDC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5B35561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391923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10EFA51">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5DFEE537">
            <w:pPr>
              <w:widowControl/>
              <w:snapToGrid w:val="0"/>
              <w:jc w:val="center"/>
              <w:rPr>
                <w:rFonts w:hint="eastAsia" w:ascii="宋体" w:hAnsi="宋体" w:cs="宋体"/>
                <w:kern w:val="0"/>
                <w:sz w:val="15"/>
                <w:szCs w:val="15"/>
              </w:rPr>
            </w:pPr>
            <w:r>
              <w:rPr>
                <w:rFonts w:hint="eastAsia"/>
                <w:spacing w:val="10"/>
                <w:sz w:val="15"/>
                <w:szCs w:val="15"/>
              </w:rPr>
              <w:t>×</w:t>
            </w:r>
          </w:p>
        </w:tc>
      </w:tr>
    </w:tbl>
    <w:p w14:paraId="7546E6C1">
      <w:pPr>
        <w:pStyle w:val="14"/>
        <w:spacing w:before="0" w:after="0" w:line="240" w:lineRule="auto"/>
        <w:ind w:firstLine="340" w:firstLineChars="200"/>
        <w:jc w:val="center"/>
        <w:rPr>
          <w:rFonts w:hint="eastAsia"/>
          <w:b/>
          <w:spacing w:val="10"/>
          <w:sz w:val="15"/>
          <w:szCs w:val="15"/>
        </w:rPr>
      </w:pPr>
      <w:r>
        <w:rPr>
          <w:rFonts w:hint="eastAsia"/>
          <w:spacing w:val="10"/>
          <w:sz w:val="15"/>
          <w:szCs w:val="15"/>
        </w:rPr>
        <w:t>备注：√代表可以购买；×代表不能购买。</w:t>
      </w:r>
    </w:p>
    <w:p w14:paraId="0E3A430B">
      <w:pPr>
        <w:pStyle w:val="14"/>
        <w:spacing w:before="0" w:after="0" w:line="240" w:lineRule="auto"/>
        <w:ind w:firstLine="341" w:firstLineChars="200"/>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14:paraId="01425BDD">
      <w:pPr>
        <w:pStyle w:val="14"/>
        <w:spacing w:before="0" w:after="0" w:line="240" w:lineRule="auto"/>
        <w:ind w:firstLine="340" w:firstLineChars="20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14:paraId="45C8189D">
      <w:pPr>
        <w:pStyle w:val="14"/>
        <w:spacing w:before="0" w:after="0" w:line="240" w:lineRule="auto"/>
        <w:ind w:firstLine="340" w:firstLineChars="20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1945BBA9">
      <w:pPr>
        <w:pStyle w:val="14"/>
        <w:spacing w:before="0" w:after="0" w:line="240" w:lineRule="auto"/>
        <w:ind w:firstLine="341" w:firstLineChars="200"/>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14:paraId="27AD899C">
      <w:pPr>
        <w:pStyle w:val="14"/>
        <w:spacing w:before="0" w:after="0" w:line="240" w:lineRule="auto"/>
        <w:ind w:firstLine="340" w:firstLineChars="20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14:paraId="57272061">
      <w:pPr>
        <w:pStyle w:val="14"/>
        <w:spacing w:before="0" w:after="0" w:line="240" w:lineRule="auto"/>
        <w:ind w:firstLine="341" w:firstLineChars="200"/>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14:paraId="4FFDE03B">
      <w:pPr>
        <w:pStyle w:val="14"/>
        <w:spacing w:before="0" w:after="0" w:line="240" w:lineRule="auto"/>
        <w:ind w:firstLine="340" w:firstLineChars="20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14:paraId="54E3DAE6">
      <w:pPr>
        <w:pStyle w:val="14"/>
        <w:spacing w:before="0" w:after="0" w:line="240" w:lineRule="auto"/>
        <w:ind w:firstLine="341" w:firstLineChars="200"/>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14:paraId="74C48C09">
      <w:pPr>
        <w:pStyle w:val="14"/>
        <w:spacing w:before="0" w:after="0" w:line="240" w:lineRule="auto"/>
        <w:ind w:firstLine="341" w:firstLineChars="200"/>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424B2A1">
      <w:pPr>
        <w:pStyle w:val="14"/>
        <w:spacing w:before="0" w:after="0" w:line="240" w:lineRule="auto"/>
        <w:ind w:firstLine="340" w:firstLineChars="200"/>
        <w:rPr>
          <w:bCs/>
          <w:spacing w:val="10"/>
          <w:sz w:val="15"/>
          <w:szCs w:val="15"/>
        </w:rPr>
      </w:pPr>
      <w:r>
        <w:rPr>
          <w:rFonts w:hint="eastAsia"/>
          <w:bCs/>
          <w:spacing w:val="10"/>
          <w:sz w:val="15"/>
          <w:szCs w:val="15"/>
        </w:rPr>
        <w:t>（一）南银理财联系方式</w:t>
      </w:r>
    </w:p>
    <w:p w14:paraId="58659D36">
      <w:pPr>
        <w:pStyle w:val="14"/>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14:paraId="594DB2CF">
      <w:pPr>
        <w:pStyle w:val="14"/>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14:paraId="5806FCEB">
      <w:pPr>
        <w:pStyle w:val="14"/>
        <w:spacing w:before="0" w:after="0" w:line="240" w:lineRule="auto"/>
        <w:ind w:firstLine="340" w:firstLineChars="200"/>
        <w:rPr>
          <w:bCs/>
          <w:spacing w:val="10"/>
          <w:sz w:val="15"/>
          <w:szCs w:val="15"/>
        </w:rPr>
      </w:pPr>
      <w:r>
        <w:rPr>
          <w:rFonts w:hint="eastAsia"/>
          <w:bCs/>
          <w:spacing w:val="10"/>
          <w:sz w:val="15"/>
          <w:szCs w:val="15"/>
        </w:rPr>
        <w:t>（二）销售机构联系方式</w:t>
      </w:r>
    </w:p>
    <w:p w14:paraId="6715C58B">
      <w:pPr>
        <w:pStyle w:val="14"/>
        <w:spacing w:before="0" w:after="0" w:line="240" w:lineRule="auto"/>
        <w:ind w:firstLine="340" w:firstLineChars="200"/>
        <w:rPr>
          <w:bCs/>
          <w:spacing w:val="10"/>
          <w:sz w:val="15"/>
          <w:szCs w:val="15"/>
        </w:rPr>
      </w:pPr>
      <w:r>
        <w:rPr>
          <w:rFonts w:hint="eastAsia"/>
          <w:bCs/>
          <w:spacing w:val="10"/>
          <w:sz w:val="15"/>
          <w:szCs w:val="15"/>
        </w:rPr>
        <w:t>官方网站：</w:t>
      </w:r>
      <w:r>
        <w:rPr>
          <w:bCs/>
          <w:spacing w:val="10"/>
          <w:sz w:val="15"/>
          <w:szCs w:val="15"/>
        </w:rPr>
        <w:t>www.njcb.com.cn</w:t>
      </w:r>
    </w:p>
    <w:p w14:paraId="5ADECB18">
      <w:pPr>
        <w:pStyle w:val="14"/>
        <w:spacing w:before="0" w:after="0" w:line="240" w:lineRule="auto"/>
        <w:ind w:firstLine="340" w:firstLineChars="200"/>
        <w:rPr>
          <w:b/>
          <w:spacing w:val="10"/>
          <w:sz w:val="15"/>
          <w:szCs w:val="15"/>
          <w:u w:val="single"/>
        </w:rPr>
      </w:pPr>
      <w:r>
        <w:rPr>
          <w:rFonts w:hint="eastAsia"/>
          <w:bCs/>
          <w:spacing w:val="10"/>
          <w:sz w:val="15"/>
          <w:szCs w:val="15"/>
        </w:rPr>
        <w:t>全国统一客服热线：</w:t>
      </w:r>
      <w:r>
        <w:rPr>
          <w:bCs/>
          <w:spacing w:val="10"/>
          <w:sz w:val="15"/>
          <w:szCs w:val="15"/>
        </w:rPr>
        <w:t>95302</w:t>
      </w:r>
    </w:p>
    <w:p w14:paraId="7C53B27C">
      <w:pPr>
        <w:pStyle w:val="14"/>
        <w:spacing w:before="0" w:after="0" w:line="240" w:lineRule="auto"/>
        <w:ind w:firstLine="341" w:firstLineChars="200"/>
        <w:rPr>
          <w:b/>
          <w:spacing w:val="10"/>
          <w:sz w:val="15"/>
          <w:szCs w:val="15"/>
        </w:rPr>
      </w:pPr>
    </w:p>
    <w:p w14:paraId="6DA128D8">
      <w:pPr>
        <w:pStyle w:val="14"/>
        <w:spacing w:before="0" w:after="0" w:line="240" w:lineRule="auto"/>
        <w:ind w:firstLine="0"/>
        <w:jc w:val="both"/>
        <w:rPr>
          <w:b/>
          <w:spacing w:val="10"/>
          <w:sz w:val="15"/>
          <w:szCs w:val="15"/>
          <w:u w:val="single"/>
        </w:rPr>
      </w:pPr>
    </w:p>
    <w:p w14:paraId="0AAFA5CF">
      <w:pPr>
        <w:pStyle w:val="14"/>
        <w:spacing w:before="0" w:after="0" w:line="240" w:lineRule="auto"/>
        <w:ind w:firstLine="0"/>
        <w:jc w:val="center"/>
        <w:rPr>
          <w:b/>
          <w:spacing w:val="10"/>
          <w:sz w:val="15"/>
          <w:szCs w:val="15"/>
          <w:u w:val="single"/>
        </w:rPr>
      </w:pPr>
      <w:r>
        <w:rPr>
          <w:rFonts w:hint="eastAsia"/>
          <w:b/>
          <w:spacing w:val="10"/>
          <w:sz w:val="15"/>
          <w:szCs w:val="15"/>
          <w:u w:val="single"/>
        </w:rPr>
        <w:t>仔细阅读提示</w:t>
      </w:r>
    </w:p>
    <w:p w14:paraId="302CE5CE">
      <w:pPr>
        <w:ind w:firstLine="340" w:firstLineChars="200"/>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5702C88B">
      <w:pPr>
        <w:widowControl/>
        <w:jc w:val="left"/>
        <w:rPr>
          <w:b/>
          <w:spacing w:val="10"/>
          <w:kern w:val="0"/>
          <w:sz w:val="15"/>
          <w:szCs w:val="15"/>
          <w:u w:val="single"/>
        </w:rPr>
        <w:sectPr>
          <w:pgSz w:w="11906" w:h="16838"/>
          <w:pgMar w:top="720" w:right="720" w:bottom="720" w:left="720" w:header="851" w:footer="992" w:gutter="0"/>
          <w:cols w:space="720" w:num="1"/>
          <w:docGrid w:type="lines" w:linePitch="312" w:charSpace="0"/>
        </w:sectPr>
      </w:pPr>
    </w:p>
    <w:p w14:paraId="376D7A74">
      <w:pPr>
        <w:spacing w:line="0" w:lineRule="atLeast"/>
        <w:jc w:val="center"/>
        <w:rPr>
          <w:rFonts w:eastAsia="黑体"/>
          <w:b/>
          <w:bCs/>
          <w:sz w:val="24"/>
          <w:szCs w:val="15"/>
        </w:rPr>
      </w:pPr>
    </w:p>
    <w:p w14:paraId="7780FDF1">
      <w:pPr>
        <w:spacing w:line="0" w:lineRule="atLeast"/>
        <w:jc w:val="center"/>
        <w:rPr>
          <w:rFonts w:eastAsia="黑体"/>
          <w:b/>
          <w:bCs/>
          <w:sz w:val="24"/>
          <w:szCs w:val="15"/>
        </w:rPr>
      </w:pPr>
    </w:p>
    <w:p w14:paraId="3EF094B9">
      <w:pPr>
        <w:spacing w:line="0" w:lineRule="atLeast"/>
        <w:jc w:val="center"/>
        <w:rPr>
          <w:rFonts w:eastAsia="黑体"/>
          <w:b/>
          <w:bCs/>
          <w:sz w:val="24"/>
          <w:szCs w:val="15"/>
        </w:rPr>
      </w:pPr>
    </w:p>
    <w:p w14:paraId="42049004">
      <w:pPr>
        <w:spacing w:line="0" w:lineRule="atLeast"/>
        <w:jc w:val="center"/>
        <w:rPr>
          <w:rFonts w:eastAsia="黑体"/>
          <w:b/>
          <w:bCs/>
          <w:sz w:val="24"/>
          <w:szCs w:val="15"/>
        </w:rPr>
      </w:pPr>
    </w:p>
    <w:p w14:paraId="643979AE">
      <w:pPr>
        <w:spacing w:line="0" w:lineRule="atLeast"/>
        <w:jc w:val="center"/>
        <w:rPr>
          <w:rFonts w:eastAsia="黑体"/>
          <w:b/>
          <w:bCs/>
          <w:sz w:val="24"/>
          <w:szCs w:val="15"/>
        </w:rPr>
      </w:pPr>
    </w:p>
    <w:p w14:paraId="02E2F094">
      <w:pPr>
        <w:spacing w:line="0" w:lineRule="atLeast"/>
        <w:jc w:val="center"/>
        <w:rPr>
          <w:rFonts w:eastAsia="黑体"/>
          <w:b/>
          <w:bCs/>
          <w:sz w:val="24"/>
          <w:szCs w:val="15"/>
        </w:rPr>
      </w:pPr>
    </w:p>
    <w:p w14:paraId="66EA7E23">
      <w:pPr>
        <w:spacing w:line="0" w:lineRule="atLeast"/>
        <w:jc w:val="center"/>
        <w:rPr>
          <w:rFonts w:eastAsia="黑体"/>
          <w:b/>
          <w:bCs/>
          <w:sz w:val="24"/>
          <w:szCs w:val="15"/>
        </w:rPr>
      </w:pPr>
    </w:p>
    <w:p w14:paraId="70F50E24">
      <w:pPr>
        <w:spacing w:line="0" w:lineRule="atLeast"/>
        <w:jc w:val="center"/>
        <w:rPr>
          <w:rFonts w:eastAsia="黑体"/>
          <w:b/>
          <w:bCs/>
          <w:sz w:val="24"/>
          <w:szCs w:val="15"/>
        </w:rPr>
      </w:pPr>
    </w:p>
    <w:p w14:paraId="1F815B7C">
      <w:pPr>
        <w:spacing w:line="0" w:lineRule="atLeast"/>
        <w:jc w:val="center"/>
        <w:rPr>
          <w:rFonts w:eastAsia="黑体"/>
          <w:b/>
          <w:bCs/>
          <w:sz w:val="24"/>
          <w:szCs w:val="15"/>
        </w:rPr>
      </w:pPr>
    </w:p>
    <w:p w14:paraId="2DB7BCEB">
      <w:pPr>
        <w:spacing w:line="0" w:lineRule="atLeast"/>
        <w:jc w:val="center"/>
        <w:rPr>
          <w:rFonts w:eastAsia="黑体"/>
          <w:b/>
          <w:bCs/>
          <w:sz w:val="24"/>
          <w:szCs w:val="15"/>
        </w:rPr>
      </w:pPr>
    </w:p>
    <w:p w14:paraId="231D5250">
      <w:pPr>
        <w:spacing w:line="0" w:lineRule="atLeast"/>
        <w:jc w:val="center"/>
        <w:rPr>
          <w:rFonts w:eastAsia="黑体"/>
          <w:b/>
          <w:bCs/>
          <w:sz w:val="24"/>
          <w:szCs w:val="15"/>
        </w:rPr>
      </w:pPr>
    </w:p>
    <w:p w14:paraId="094A73D4">
      <w:pPr>
        <w:spacing w:line="0" w:lineRule="atLeast"/>
        <w:jc w:val="center"/>
        <w:rPr>
          <w:rFonts w:eastAsia="黑体"/>
          <w:b/>
          <w:bCs/>
          <w:sz w:val="24"/>
          <w:szCs w:val="15"/>
        </w:rPr>
      </w:pPr>
    </w:p>
    <w:p w14:paraId="5769A6E2">
      <w:pPr>
        <w:spacing w:line="0" w:lineRule="atLeast"/>
        <w:rPr>
          <w:rFonts w:eastAsia="黑体"/>
          <w:b/>
          <w:bCs/>
          <w:sz w:val="24"/>
          <w:szCs w:val="15"/>
        </w:rPr>
      </w:pPr>
    </w:p>
    <w:p w14:paraId="1372359D">
      <w:pPr>
        <w:spacing w:line="0" w:lineRule="atLeast"/>
        <w:jc w:val="center"/>
        <w:rPr>
          <w:rFonts w:eastAsia="黑体"/>
          <w:b/>
          <w:bCs/>
          <w:sz w:val="24"/>
          <w:szCs w:val="15"/>
        </w:rPr>
      </w:pPr>
    </w:p>
    <w:p w14:paraId="7CECDE14">
      <w:pPr>
        <w:spacing w:line="0" w:lineRule="atLeast"/>
        <w:rPr>
          <w:rFonts w:eastAsia="黑体"/>
          <w:b/>
          <w:bCs/>
          <w:sz w:val="24"/>
          <w:szCs w:val="15"/>
        </w:rPr>
      </w:pPr>
    </w:p>
    <w:p w14:paraId="1CADB3BB">
      <w:pPr>
        <w:spacing w:line="0" w:lineRule="atLeast"/>
        <w:jc w:val="center"/>
        <w:rPr>
          <w:rFonts w:eastAsia="黑体"/>
          <w:b/>
          <w:bCs/>
          <w:sz w:val="24"/>
          <w:szCs w:val="15"/>
        </w:rPr>
      </w:pPr>
    </w:p>
    <w:p w14:paraId="1557DB1F">
      <w:pPr>
        <w:spacing w:line="0" w:lineRule="atLeast"/>
        <w:jc w:val="center"/>
        <w:rPr>
          <w:rFonts w:eastAsia="黑体"/>
          <w:b/>
          <w:bCs/>
          <w:sz w:val="24"/>
          <w:szCs w:val="15"/>
        </w:rPr>
      </w:pPr>
    </w:p>
    <w:p w14:paraId="0869E171">
      <w:pPr>
        <w:spacing w:line="0" w:lineRule="atLeast"/>
        <w:jc w:val="center"/>
        <w:rPr>
          <w:rFonts w:eastAsia="黑体"/>
          <w:b/>
          <w:bCs/>
          <w:sz w:val="24"/>
          <w:szCs w:val="15"/>
        </w:rPr>
      </w:pPr>
      <w:r>
        <w:rPr>
          <w:rFonts w:hint="eastAsia" w:eastAsia="黑体"/>
          <w:b/>
          <w:bCs/>
          <w:sz w:val="24"/>
          <w:szCs w:val="15"/>
        </w:rPr>
        <w:t>理财产品销售协议书</w:t>
      </w:r>
    </w:p>
    <w:p w14:paraId="5F7165D0">
      <w:pPr>
        <w:tabs>
          <w:tab w:val="left" w:pos="0"/>
        </w:tabs>
        <w:jc w:val="center"/>
        <w:rPr>
          <w:rFonts w:eastAsia="宋体"/>
          <w:sz w:val="18"/>
        </w:rPr>
      </w:pPr>
    </w:p>
    <w:p w14:paraId="10412F48">
      <w:pPr>
        <w:tabs>
          <w:tab w:val="left" w:pos="0"/>
        </w:tabs>
        <w:jc w:val="center"/>
      </w:pPr>
    </w:p>
    <w:p w14:paraId="3D9C1464">
      <w:pPr>
        <w:tabs>
          <w:tab w:val="left" w:pos="0"/>
        </w:tabs>
        <w:jc w:val="center"/>
      </w:pPr>
    </w:p>
    <w:p w14:paraId="4C555903">
      <w:pPr>
        <w:tabs>
          <w:tab w:val="left" w:pos="0"/>
        </w:tabs>
        <w:jc w:val="center"/>
      </w:pPr>
    </w:p>
    <w:p w14:paraId="40E87852">
      <w:pPr>
        <w:tabs>
          <w:tab w:val="left" w:pos="0"/>
        </w:tabs>
        <w:jc w:val="center"/>
      </w:pPr>
    </w:p>
    <w:p w14:paraId="1BBDC18B">
      <w:pPr>
        <w:tabs>
          <w:tab w:val="left" w:pos="0"/>
        </w:tabs>
        <w:jc w:val="center"/>
      </w:pPr>
    </w:p>
    <w:p w14:paraId="221465EE">
      <w:pPr>
        <w:tabs>
          <w:tab w:val="left" w:pos="0"/>
        </w:tabs>
        <w:jc w:val="center"/>
      </w:pPr>
    </w:p>
    <w:p w14:paraId="251B4B64">
      <w:pPr>
        <w:tabs>
          <w:tab w:val="left" w:pos="0"/>
        </w:tabs>
        <w:jc w:val="center"/>
      </w:pPr>
    </w:p>
    <w:p w14:paraId="77F93C1C">
      <w:pPr>
        <w:tabs>
          <w:tab w:val="left" w:pos="0"/>
        </w:tabs>
        <w:jc w:val="center"/>
      </w:pPr>
      <w:r>
        <w:rPr>
          <w:rFonts w:hint="eastAsia"/>
        </w:rPr>
        <w:t>编制单位：</w:t>
      </w:r>
      <w:r>
        <w:rPr>
          <w:rFonts w:hint="eastAsia"/>
          <w:u w:val="single"/>
        </w:rPr>
        <w:t>南银理财有限责任公司</w:t>
      </w:r>
    </w:p>
    <w:p w14:paraId="4FB15D3C">
      <w:pPr>
        <w:spacing w:line="0" w:lineRule="atLeast"/>
        <w:ind w:firstLine="4200" w:firstLineChars="20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14:paraId="4FDE3619">
      <w:pPr>
        <w:adjustRightInd w:val="0"/>
        <w:snapToGrid w:val="0"/>
        <w:spacing w:line="0" w:lineRule="atLeast"/>
        <w:rPr>
          <w:rFonts w:eastAsia="宋体"/>
          <w:b/>
          <w:bCs/>
          <w:sz w:val="18"/>
        </w:rPr>
      </w:pPr>
      <w:r>
        <w:rPr>
          <w:rFonts w:hint="eastAsia"/>
          <w:b/>
          <w:bCs/>
        </w:rPr>
        <w:t>风险提示：</w:t>
      </w:r>
    </w:p>
    <w:p w14:paraId="4E1BCDC3">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14:paraId="04CE044D">
      <w:pPr>
        <w:tabs>
          <w:tab w:val="left" w:pos="7920"/>
          <w:tab w:val="left" w:pos="8100"/>
        </w:tabs>
        <w:spacing w:line="0" w:lineRule="atLeast"/>
        <w:rPr>
          <w:b/>
          <w:bCs/>
          <w:szCs w:val="18"/>
        </w:rPr>
      </w:pPr>
    </w:p>
    <w:p w14:paraId="2052221A">
      <w:pPr>
        <w:spacing w:line="0" w:lineRule="atLeast"/>
        <w:jc w:val="center"/>
        <w:rPr>
          <w:rFonts w:eastAsia="黑体"/>
          <w:b/>
          <w:bCs/>
          <w:sz w:val="24"/>
          <w:szCs w:val="15"/>
        </w:rPr>
      </w:pPr>
    </w:p>
    <w:p w14:paraId="24183032">
      <w:pPr>
        <w:spacing w:line="0" w:lineRule="atLeast"/>
        <w:jc w:val="center"/>
        <w:rPr>
          <w:rFonts w:eastAsia="黑体"/>
          <w:b/>
          <w:bCs/>
          <w:sz w:val="24"/>
          <w:szCs w:val="15"/>
        </w:rPr>
      </w:pPr>
      <w:r>
        <w:rPr>
          <w:rFonts w:hint="eastAsia" w:eastAsia="黑体"/>
          <w:b/>
          <w:bCs/>
          <w:sz w:val="24"/>
          <w:szCs w:val="15"/>
        </w:rPr>
        <w:t>理财产品销售协议书</w:t>
      </w:r>
    </w:p>
    <w:p w14:paraId="28134C9D">
      <w:pPr>
        <w:spacing w:line="200" w:lineRule="exact"/>
        <w:ind w:firstLine="300" w:firstLineChars="200"/>
        <w:rPr>
          <w:rFonts w:eastAsia="方正细黑一简体"/>
          <w:sz w:val="15"/>
          <w:szCs w:val="15"/>
        </w:rPr>
      </w:pPr>
    </w:p>
    <w:p w14:paraId="0A9EC3E4">
      <w:pPr>
        <w:spacing w:line="200" w:lineRule="exact"/>
        <w:ind w:firstLine="300" w:firstLineChars="200"/>
        <w:rPr>
          <w:rFonts w:eastAsia="方正细黑一简体"/>
          <w:sz w:val="15"/>
          <w:szCs w:val="15"/>
        </w:rPr>
      </w:pPr>
      <w:r>
        <w:rPr>
          <w:rFonts w:hint="eastAsia" w:eastAsia="方正细黑一简体"/>
          <w:sz w:val="15"/>
          <w:szCs w:val="15"/>
        </w:rPr>
        <w:t>经甲方（南银理财有限责任公司，以下简称</w:t>
      </w:r>
      <w:r>
        <w:rPr>
          <w:rFonts w:eastAsia="方正细黑一简体"/>
          <w:sz w:val="15"/>
          <w:szCs w:val="15"/>
        </w:rPr>
        <w:t>“</w:t>
      </w:r>
      <w:r>
        <w:rPr>
          <w:rFonts w:hint="eastAsia" w:eastAsia="方正细黑一简体"/>
          <w:sz w:val="15"/>
          <w:szCs w:val="15"/>
        </w:rPr>
        <w:t>南银理财</w:t>
      </w:r>
      <w:r>
        <w:rPr>
          <w:rFonts w:eastAsia="方正细黑一简体"/>
          <w:sz w:val="15"/>
          <w:szCs w:val="15"/>
        </w:rPr>
        <w:t>”</w:t>
      </w:r>
      <w:r>
        <w:rPr>
          <w:rFonts w:hint="eastAsia" w:eastAsia="方正细黑一简体"/>
          <w:sz w:val="15"/>
          <w:szCs w:val="15"/>
        </w:rPr>
        <w:t>、</w:t>
      </w:r>
      <w:r>
        <w:rPr>
          <w:rFonts w:eastAsia="方正细黑一简体"/>
          <w:sz w:val="15"/>
          <w:szCs w:val="15"/>
        </w:rPr>
        <w:t>“</w:t>
      </w:r>
      <w:r>
        <w:rPr>
          <w:rFonts w:hint="eastAsia" w:eastAsia="方正细黑一简体"/>
          <w:color w:val="3D3D3D"/>
          <w:sz w:val="15"/>
          <w:szCs w:val="15"/>
        </w:rPr>
        <w:t>管理人</w:t>
      </w:r>
      <w:r>
        <w:rPr>
          <w:rFonts w:eastAsia="方正细黑一简体"/>
          <w:color w:val="3D3D3D"/>
          <w:sz w:val="15"/>
          <w:szCs w:val="15"/>
        </w:rPr>
        <w:t>”</w:t>
      </w:r>
      <w:r>
        <w:rPr>
          <w:rFonts w:hint="eastAsia" w:eastAsia="方正细黑一简体"/>
          <w:color w:val="3D3D3D"/>
          <w:sz w:val="15"/>
          <w:szCs w:val="15"/>
        </w:rPr>
        <w:t>、“产品管理人”或</w:t>
      </w:r>
      <w:r>
        <w:rPr>
          <w:rFonts w:eastAsia="方正细黑一简体"/>
          <w:color w:val="3D3D3D"/>
          <w:sz w:val="15"/>
          <w:szCs w:val="15"/>
        </w:rPr>
        <w:t>“</w:t>
      </w:r>
      <w:r>
        <w:rPr>
          <w:rFonts w:hint="eastAsia" w:eastAsia="方正细黑一简体"/>
          <w:color w:val="3D3D3D"/>
          <w:sz w:val="15"/>
          <w:szCs w:val="15"/>
        </w:rPr>
        <w:t>理财产品管理人</w:t>
      </w:r>
      <w:r>
        <w:rPr>
          <w:rFonts w:eastAsia="方正细黑一简体"/>
          <w:sz w:val="15"/>
          <w:szCs w:val="15"/>
        </w:rPr>
        <w:t>”</w:t>
      </w:r>
      <w:r>
        <w:rPr>
          <w:rFonts w:hint="eastAsia" w:eastAsia="方正细黑一简体"/>
          <w:sz w:val="15"/>
          <w:szCs w:val="15"/>
        </w:rPr>
        <w:t>）与乙方（以下简称“投资者”）双方平等友好协商，本着平等自愿、诚实守信的原则，就乙方购买甲方管理的理财产品的有关事宜达成协议如下：</w:t>
      </w:r>
    </w:p>
    <w:p w14:paraId="2E6FBC52">
      <w:pPr>
        <w:numPr>
          <w:ilvl w:val="0"/>
          <w:numId w:val="6"/>
        </w:numPr>
        <w:spacing w:line="200" w:lineRule="exact"/>
        <w:ind w:firstLine="340" w:firstLineChars="200"/>
        <w:rPr>
          <w:rFonts w:eastAsia="宋体"/>
          <w:b/>
          <w:bCs/>
          <w:spacing w:val="10"/>
          <w:sz w:val="15"/>
          <w:szCs w:val="15"/>
        </w:rPr>
      </w:pPr>
      <w:r>
        <w:rPr>
          <w:rFonts w:hint="eastAsia"/>
          <w:b/>
          <w:bCs/>
          <w:spacing w:val="10"/>
          <w:sz w:val="15"/>
          <w:szCs w:val="15"/>
        </w:rPr>
        <w:t>名词释义</w:t>
      </w:r>
    </w:p>
    <w:p w14:paraId="5220D34B">
      <w:pPr>
        <w:pStyle w:val="6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14:paraId="2A51DB74">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1C36197">
      <w:pPr>
        <w:spacing w:line="200" w:lineRule="exact"/>
        <w:ind w:firstLine="340" w:firstLineChars="200"/>
        <w:rPr>
          <w:spacing w:val="10"/>
          <w:sz w:val="15"/>
          <w:szCs w:val="15"/>
        </w:rPr>
      </w:pPr>
      <w:r>
        <w:rPr>
          <w:rFonts w:hint="eastAsia"/>
          <w:spacing w:val="10"/>
          <w:sz w:val="15"/>
          <w:szCs w:val="15"/>
        </w:rPr>
        <w:t>南京银行股份有限公司作为本理财产品的销售机构，负责本理财产品的销售。</w:t>
      </w:r>
    </w:p>
    <w:p w14:paraId="28B2D362">
      <w:pPr>
        <w:numPr>
          <w:ilvl w:val="0"/>
          <w:numId w:val="6"/>
        </w:numPr>
        <w:spacing w:line="200" w:lineRule="exact"/>
        <w:ind w:firstLine="340" w:firstLineChars="200"/>
        <w:rPr>
          <w:b/>
          <w:bCs/>
          <w:spacing w:val="10"/>
          <w:sz w:val="15"/>
          <w:szCs w:val="15"/>
        </w:rPr>
      </w:pPr>
      <w:r>
        <w:rPr>
          <w:rFonts w:hint="eastAsia"/>
          <w:b/>
          <w:bCs/>
          <w:spacing w:val="10"/>
          <w:sz w:val="15"/>
          <w:szCs w:val="15"/>
        </w:rPr>
        <w:t>甲方的权利与义务：</w:t>
      </w:r>
    </w:p>
    <w:p w14:paraId="216E5F7F">
      <w:pPr>
        <w:numPr>
          <w:ilvl w:val="0"/>
          <w:numId w:val="7"/>
        </w:numPr>
        <w:spacing w:line="200" w:lineRule="exact"/>
        <w:ind w:firstLine="340" w:firstLineChars="200"/>
        <w:rPr>
          <w:spacing w:val="10"/>
          <w:sz w:val="15"/>
          <w:szCs w:val="15"/>
        </w:rPr>
      </w:pPr>
      <w:r>
        <w:rPr>
          <w:rFonts w:hint="eastAsia"/>
          <w:spacing w:val="10"/>
          <w:sz w:val="15"/>
          <w:szCs w:val="15"/>
        </w:rPr>
        <w:t>甲方应当履行恪尽职守、勤勉尽责、诚实守信、有效管理的义务。</w:t>
      </w:r>
    </w:p>
    <w:p w14:paraId="0D7C37C7">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4880BFC8">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135A3D19">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4FA7332A">
      <w:pPr>
        <w:numPr>
          <w:ilvl w:val="0"/>
          <w:numId w:val="7"/>
        </w:numPr>
        <w:spacing w:line="200" w:lineRule="exact"/>
        <w:ind w:firstLine="340" w:firstLineChars="20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14:paraId="15DD0FCA">
      <w:pPr>
        <w:numPr>
          <w:ilvl w:val="0"/>
          <w:numId w:val="7"/>
        </w:numPr>
        <w:spacing w:line="200" w:lineRule="exact"/>
        <w:ind w:firstLine="340" w:firstLineChars="20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14:paraId="035D4969">
      <w:pPr>
        <w:numPr>
          <w:ilvl w:val="0"/>
          <w:numId w:val="7"/>
        </w:numPr>
        <w:spacing w:line="200" w:lineRule="exact"/>
        <w:ind w:firstLine="340" w:firstLineChars="20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14:paraId="4C7ED1CA">
      <w:pPr>
        <w:numPr>
          <w:ilvl w:val="0"/>
          <w:numId w:val="7"/>
        </w:numPr>
        <w:spacing w:line="200" w:lineRule="exact"/>
        <w:ind w:firstLine="340" w:firstLineChars="20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74E7776A">
      <w:pPr>
        <w:numPr>
          <w:ilvl w:val="0"/>
          <w:numId w:val="7"/>
        </w:numPr>
        <w:spacing w:line="200" w:lineRule="exact"/>
        <w:ind w:firstLine="340" w:firstLineChars="20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14:paraId="58444DA5">
      <w:pPr>
        <w:numPr>
          <w:ilvl w:val="0"/>
          <w:numId w:val="7"/>
        </w:numPr>
        <w:spacing w:line="200" w:lineRule="exact"/>
        <w:ind w:firstLine="340" w:firstLineChars="200"/>
        <w:rPr>
          <w:spacing w:val="10"/>
          <w:sz w:val="15"/>
          <w:szCs w:val="15"/>
        </w:rPr>
      </w:pPr>
      <w:r>
        <w:rPr>
          <w:rFonts w:hint="eastAsia"/>
          <w:spacing w:val="10"/>
          <w:sz w:val="15"/>
          <w:szCs w:val="15"/>
        </w:rPr>
        <w:t>甲方有权根据产品运作的需要选任必要的业务合作机构。</w:t>
      </w:r>
    </w:p>
    <w:p w14:paraId="7857A2D3">
      <w:pPr>
        <w:numPr>
          <w:ilvl w:val="0"/>
          <w:numId w:val="7"/>
        </w:numPr>
        <w:spacing w:line="200" w:lineRule="exact"/>
        <w:ind w:firstLine="300" w:firstLineChars="200"/>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6E852177">
      <w:pPr>
        <w:numPr>
          <w:ilvl w:val="0"/>
          <w:numId w:val="7"/>
        </w:numPr>
        <w:spacing w:line="200" w:lineRule="exact"/>
        <w:ind w:firstLine="340" w:firstLineChars="200"/>
        <w:rPr>
          <w:spacing w:val="10"/>
          <w:sz w:val="15"/>
          <w:szCs w:val="15"/>
        </w:rPr>
      </w:pPr>
      <w:r>
        <w:rPr>
          <w:rFonts w:hint="eastAsia"/>
          <w:spacing w:val="10"/>
          <w:sz w:val="15"/>
          <w:szCs w:val="15"/>
        </w:rPr>
        <w:t>甲方无义务对第三人支付本理财产品清算分配金额及相关权益，法律法规另有规定的除外。</w:t>
      </w:r>
    </w:p>
    <w:p w14:paraId="33425496">
      <w:pPr>
        <w:numPr>
          <w:ilvl w:val="0"/>
          <w:numId w:val="7"/>
        </w:numPr>
        <w:spacing w:line="200" w:lineRule="exact"/>
        <w:ind w:firstLine="340" w:firstLineChars="20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14:paraId="4B1145A1">
      <w:pPr>
        <w:numPr>
          <w:ilvl w:val="0"/>
          <w:numId w:val="7"/>
        </w:numPr>
        <w:spacing w:line="200" w:lineRule="exact"/>
        <w:ind w:firstLine="340" w:firstLineChars="200"/>
        <w:rPr>
          <w:spacing w:val="10"/>
          <w:sz w:val="15"/>
          <w:szCs w:val="15"/>
        </w:rPr>
      </w:pPr>
      <w:r>
        <w:rPr>
          <w:rFonts w:hint="eastAsia"/>
          <w:spacing w:val="10"/>
          <w:sz w:val="15"/>
          <w:szCs w:val="15"/>
        </w:rPr>
        <w:t>甲方有权根据本理财产品销售文件的约定提前终止或延长本理财产品的存续期限。</w:t>
      </w:r>
    </w:p>
    <w:p w14:paraId="3F8B1F55">
      <w:pPr>
        <w:numPr>
          <w:ilvl w:val="0"/>
          <w:numId w:val="7"/>
        </w:numPr>
        <w:spacing w:line="200" w:lineRule="exact"/>
        <w:ind w:firstLine="340" w:firstLineChars="200"/>
        <w:rPr>
          <w:spacing w:val="10"/>
          <w:sz w:val="15"/>
          <w:szCs w:val="15"/>
        </w:rPr>
      </w:pPr>
      <w:r>
        <w:rPr>
          <w:rFonts w:hint="eastAsia"/>
          <w:spacing w:val="10"/>
          <w:sz w:val="15"/>
          <w:szCs w:val="15"/>
        </w:rPr>
        <w:t>甲方有权调整本理财产品的认购或申购起点、单笔认购或申购上限等要素。</w:t>
      </w:r>
    </w:p>
    <w:p w14:paraId="33DDB19C">
      <w:pPr>
        <w:numPr>
          <w:ilvl w:val="0"/>
          <w:numId w:val="7"/>
        </w:numPr>
        <w:spacing w:line="200" w:lineRule="exact"/>
        <w:ind w:firstLine="340" w:firstLineChars="200"/>
        <w:rPr>
          <w:spacing w:val="10"/>
          <w:sz w:val="15"/>
          <w:szCs w:val="15"/>
        </w:rPr>
      </w:pPr>
      <w:r>
        <w:rPr>
          <w:rFonts w:hint="eastAsia"/>
          <w:spacing w:val="10"/>
          <w:sz w:val="15"/>
          <w:szCs w:val="15"/>
        </w:rPr>
        <w:t>甲方有权根据相关规定及销售文件的约定，变更销售文件内容。</w:t>
      </w:r>
    </w:p>
    <w:p w14:paraId="265088DD">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14:paraId="10792639">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14:paraId="4303372C">
      <w:pPr>
        <w:numPr>
          <w:ilvl w:val="0"/>
          <w:numId w:val="7"/>
        </w:numPr>
        <w:spacing w:line="200" w:lineRule="exact"/>
        <w:ind w:firstLine="340" w:firstLineChars="20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14:paraId="28C5A864">
      <w:pPr>
        <w:numPr>
          <w:ilvl w:val="0"/>
          <w:numId w:val="7"/>
        </w:numPr>
        <w:spacing w:line="200" w:lineRule="exact"/>
        <w:ind w:firstLine="340" w:firstLineChars="20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1A299344">
      <w:pPr>
        <w:numPr>
          <w:ilvl w:val="0"/>
          <w:numId w:val="7"/>
        </w:numPr>
        <w:spacing w:line="200" w:lineRule="exact"/>
        <w:ind w:firstLine="340" w:firstLineChars="200"/>
        <w:rPr>
          <w:spacing w:val="10"/>
          <w:sz w:val="15"/>
          <w:szCs w:val="15"/>
        </w:rPr>
      </w:pPr>
      <w:r>
        <w:rPr>
          <w:rFonts w:hint="eastAsia"/>
          <w:spacing w:val="10"/>
          <w:sz w:val="15"/>
          <w:szCs w:val="15"/>
        </w:rPr>
        <w:t>法律法规规定及理财产品销售文件约定的其他权利与义务。</w:t>
      </w:r>
    </w:p>
    <w:p w14:paraId="2887DC7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14:paraId="6DD81B91">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14:paraId="78C7530B">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19B29BB1">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14:paraId="5B05A591">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14:paraId="377ED71C">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14:paraId="5143896F">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2005CE43">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14:paraId="6BABFF3D">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14:paraId="0B1F2567">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14:paraId="5BAE74F5">
      <w:pPr>
        <w:numPr>
          <w:ilvl w:val="0"/>
          <w:numId w:val="8"/>
        </w:numPr>
        <w:spacing w:line="200" w:lineRule="exact"/>
        <w:ind w:firstLine="340" w:firstLineChars="20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4597DA0A">
      <w:pPr>
        <w:numPr>
          <w:ilvl w:val="0"/>
          <w:numId w:val="8"/>
        </w:numPr>
        <w:spacing w:line="200" w:lineRule="exact"/>
        <w:ind w:firstLine="340" w:firstLineChars="20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14:paraId="68F9F4EC">
      <w:pPr>
        <w:pStyle w:val="7"/>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14:paraId="48C47D88">
      <w:pPr>
        <w:numPr>
          <w:ilvl w:val="0"/>
          <w:numId w:val="8"/>
        </w:numPr>
        <w:spacing w:line="200" w:lineRule="exact"/>
        <w:ind w:firstLine="340" w:firstLineChars="200"/>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4E460CF6">
      <w:pPr>
        <w:numPr>
          <w:ilvl w:val="0"/>
          <w:numId w:val="8"/>
        </w:numPr>
        <w:spacing w:line="200" w:lineRule="exact"/>
        <w:ind w:firstLine="340" w:firstLineChars="200"/>
        <w:rPr>
          <w:spacing w:val="10"/>
          <w:sz w:val="15"/>
          <w:szCs w:val="15"/>
        </w:rPr>
      </w:pPr>
      <w:r>
        <w:rPr>
          <w:rFonts w:hint="eastAsia"/>
          <w:spacing w:val="10"/>
          <w:sz w:val="15"/>
          <w:szCs w:val="15"/>
        </w:rPr>
        <w:t>乙方承诺，不利用本理财业务及本理财产品说明书项下理财产品从事违法活动。</w:t>
      </w:r>
    </w:p>
    <w:p w14:paraId="180D1F11">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14:paraId="43A69655">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14:paraId="0F8E576C">
      <w:pPr>
        <w:numPr>
          <w:ilvl w:val="0"/>
          <w:numId w:val="8"/>
        </w:numPr>
        <w:spacing w:line="200" w:lineRule="exact"/>
        <w:ind w:firstLine="340" w:firstLineChars="20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35888F16">
      <w:pPr>
        <w:numPr>
          <w:ilvl w:val="0"/>
          <w:numId w:val="8"/>
        </w:numPr>
        <w:spacing w:line="200" w:lineRule="exact"/>
        <w:ind w:firstLine="340" w:firstLineChars="20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53610856">
      <w:pPr>
        <w:numPr>
          <w:ilvl w:val="0"/>
          <w:numId w:val="8"/>
        </w:numPr>
        <w:spacing w:line="200" w:lineRule="exact"/>
        <w:ind w:firstLine="340" w:firstLineChars="20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14:paraId="58CC4740">
      <w:pPr>
        <w:numPr>
          <w:ilvl w:val="0"/>
          <w:numId w:val="8"/>
        </w:numPr>
        <w:spacing w:line="200" w:lineRule="exact"/>
        <w:ind w:firstLine="340" w:firstLineChars="200"/>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0BFD7FEB">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E48F119">
      <w:pPr>
        <w:numPr>
          <w:ilvl w:val="0"/>
          <w:numId w:val="8"/>
        </w:numPr>
        <w:spacing w:line="200" w:lineRule="exact"/>
        <w:ind w:firstLine="340" w:firstLineChars="200"/>
        <w:rPr>
          <w:spacing w:val="10"/>
          <w:sz w:val="15"/>
          <w:szCs w:val="15"/>
        </w:rPr>
      </w:pPr>
      <w:r>
        <w:rPr>
          <w:rFonts w:hint="eastAsia"/>
          <w:spacing w:val="10"/>
          <w:sz w:val="15"/>
          <w:szCs w:val="15"/>
        </w:rPr>
        <w:t>法律法规规定及理财产品销售文件中约定的其他权利与义务。</w:t>
      </w:r>
    </w:p>
    <w:p w14:paraId="378FF38C">
      <w:pPr>
        <w:spacing w:line="200" w:lineRule="exact"/>
        <w:ind w:firstLine="340" w:firstLineChars="200"/>
        <w:rPr>
          <w:spacing w:val="10"/>
          <w:sz w:val="15"/>
          <w:szCs w:val="15"/>
        </w:rPr>
      </w:pPr>
      <w:r>
        <w:rPr>
          <w:b/>
          <w:bCs/>
          <w:spacing w:val="10"/>
          <w:sz w:val="15"/>
          <w:szCs w:val="15"/>
        </w:rPr>
        <w:t>5.</w:t>
      </w:r>
      <w:r>
        <w:rPr>
          <w:rFonts w:hint="eastAsia"/>
          <w:b/>
          <w:bCs/>
          <w:spacing w:val="10"/>
          <w:sz w:val="15"/>
          <w:szCs w:val="15"/>
        </w:rPr>
        <w:t>产品认购或申购、赎回</w:t>
      </w:r>
    </w:p>
    <w:p w14:paraId="702A0AB1">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14:paraId="562631B0">
      <w:pPr>
        <w:numPr>
          <w:ilvl w:val="0"/>
          <w:numId w:val="9"/>
        </w:numPr>
        <w:spacing w:line="200" w:lineRule="exact"/>
        <w:ind w:firstLine="340" w:firstLineChars="20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14:paraId="068D6273">
      <w:pPr>
        <w:numPr>
          <w:ilvl w:val="0"/>
          <w:numId w:val="9"/>
        </w:numPr>
        <w:spacing w:line="200" w:lineRule="exact"/>
        <w:ind w:firstLine="340" w:firstLineChars="20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14:paraId="3E894178">
      <w:pPr>
        <w:numPr>
          <w:ilvl w:val="0"/>
          <w:numId w:val="9"/>
        </w:numPr>
        <w:spacing w:line="200" w:lineRule="exact"/>
        <w:ind w:firstLine="340" w:firstLineChars="200"/>
        <w:rPr>
          <w:spacing w:val="10"/>
          <w:sz w:val="15"/>
          <w:szCs w:val="15"/>
        </w:rPr>
      </w:pPr>
      <w:r>
        <w:rPr>
          <w:rFonts w:hint="eastAsia"/>
          <w:spacing w:val="10"/>
          <w:sz w:val="15"/>
          <w:szCs w:val="15"/>
        </w:rPr>
        <w:t>理财产品投资品种、投资起点金额、收益支付方式：参照对应期次的《理财产品说明书》中的约定。</w:t>
      </w:r>
    </w:p>
    <w:p w14:paraId="02228D02">
      <w:pPr>
        <w:numPr>
          <w:ilvl w:val="0"/>
          <w:numId w:val="9"/>
        </w:numPr>
        <w:spacing w:line="200" w:lineRule="exact"/>
        <w:ind w:firstLine="340" w:firstLineChars="20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5FBB859">
      <w:pPr>
        <w:spacing w:line="200" w:lineRule="exact"/>
        <w:ind w:firstLine="340" w:firstLineChars="200"/>
        <w:rPr>
          <w:b/>
          <w:bCs/>
          <w:spacing w:val="10"/>
          <w:sz w:val="15"/>
          <w:szCs w:val="15"/>
        </w:rPr>
      </w:pPr>
      <w:r>
        <w:rPr>
          <w:b/>
          <w:bCs/>
          <w:spacing w:val="10"/>
          <w:sz w:val="15"/>
          <w:szCs w:val="15"/>
        </w:rPr>
        <w:t>6.</w:t>
      </w:r>
      <w:r>
        <w:rPr>
          <w:rFonts w:hint="eastAsia"/>
          <w:b/>
          <w:bCs/>
          <w:spacing w:val="10"/>
          <w:sz w:val="15"/>
          <w:szCs w:val="15"/>
        </w:rPr>
        <w:t>产品的终止</w:t>
      </w:r>
    </w:p>
    <w:p w14:paraId="17DF682C">
      <w:pPr>
        <w:spacing w:line="200" w:lineRule="exact"/>
        <w:ind w:firstLine="300" w:firstLineChars="2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14:paraId="79CFAF7E">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14:paraId="34AC9120">
      <w:pPr>
        <w:spacing w:line="200" w:lineRule="exact"/>
        <w:ind w:firstLine="340" w:firstLineChars="200"/>
        <w:rPr>
          <w:bCs/>
          <w:spacing w:val="10"/>
          <w:sz w:val="15"/>
          <w:szCs w:val="15"/>
        </w:rPr>
      </w:pPr>
      <w:r>
        <w:rPr>
          <w:rFonts w:hint="eastAsia"/>
          <w:bCs/>
          <w:spacing w:val="10"/>
          <w:sz w:val="15"/>
          <w:szCs w:val="15"/>
        </w:rPr>
        <w:t>在理财产品存续期内，如发生以下事项时，南银理财可对本理财产品行使全部提前终止权：</w:t>
      </w:r>
    </w:p>
    <w:p w14:paraId="67A815C3">
      <w:pPr>
        <w:pStyle w:val="6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14:paraId="087752DB">
      <w:pPr>
        <w:pStyle w:val="6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14:paraId="1B79FA07">
      <w:pPr>
        <w:pStyle w:val="6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14:paraId="3C53BBF5">
      <w:pPr>
        <w:pStyle w:val="6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14:paraId="40912A73">
      <w:pPr>
        <w:pStyle w:val="6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272EBE27">
      <w:pPr>
        <w:pStyle w:val="6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14:paraId="2B212253">
      <w:pPr>
        <w:pStyle w:val="6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14:paraId="18FC6E05">
      <w:pPr>
        <w:pStyle w:val="6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14:paraId="723E734C">
      <w:pPr>
        <w:pStyle w:val="6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14:paraId="0A7D0D2C">
      <w:pPr>
        <w:pStyle w:val="61"/>
        <w:spacing w:line="200" w:lineRule="exact"/>
        <w:ind w:left="340" w:firstLine="0" w:firstLineChars="0"/>
        <w:rPr>
          <w:bCs/>
          <w:spacing w:val="10"/>
          <w:sz w:val="15"/>
          <w:szCs w:val="15"/>
        </w:rPr>
      </w:pPr>
      <w:r>
        <w:rPr>
          <w:rFonts w:hint="eastAsia"/>
          <w:bCs/>
          <w:spacing w:val="10"/>
          <w:sz w:val="15"/>
          <w:szCs w:val="15"/>
        </w:rPr>
        <w:t>南银理财如提前终止本理财产品，应根据本理财产品销售文件约定的方式进行信息披露。</w:t>
      </w:r>
    </w:p>
    <w:p w14:paraId="04F40EAB">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14:paraId="0A9B2BA6">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14:paraId="2A391883">
      <w:pPr>
        <w:pStyle w:val="6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14:paraId="1919422B">
      <w:pPr>
        <w:pStyle w:val="6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14:paraId="3E4C07EA">
      <w:pPr>
        <w:pStyle w:val="6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14:paraId="4413ACA7">
      <w:pPr>
        <w:pStyle w:val="6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14:paraId="3B9E6056">
      <w:pPr>
        <w:pStyle w:val="6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14:paraId="561EBB53">
      <w:pPr>
        <w:pStyle w:val="6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14:paraId="28073170">
      <w:pPr>
        <w:pStyle w:val="6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14:paraId="3499C22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14:paraId="3A58EBDB">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59231D07">
      <w:pPr>
        <w:spacing w:line="200" w:lineRule="exact"/>
        <w:ind w:firstLine="340" w:firstLineChars="200"/>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14:paraId="11A0786C">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14:paraId="648C05D5">
      <w:pPr>
        <w:spacing w:line="200" w:lineRule="exact"/>
        <w:ind w:firstLine="340" w:firstLineChars="20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20367D98">
      <w:pPr>
        <w:spacing w:line="200" w:lineRule="exact"/>
        <w:ind w:firstLine="340" w:firstLineChars="200"/>
        <w:rPr>
          <w:b/>
          <w:bCs/>
          <w:spacing w:val="10"/>
          <w:sz w:val="15"/>
          <w:szCs w:val="15"/>
        </w:rPr>
      </w:pPr>
      <w:r>
        <w:rPr>
          <w:b/>
          <w:bCs/>
          <w:spacing w:val="10"/>
          <w:sz w:val="15"/>
          <w:szCs w:val="15"/>
        </w:rPr>
        <w:t>8.</w:t>
      </w:r>
      <w:r>
        <w:rPr>
          <w:rFonts w:hint="eastAsia"/>
          <w:b/>
          <w:bCs/>
          <w:spacing w:val="10"/>
          <w:sz w:val="15"/>
          <w:szCs w:val="15"/>
        </w:rPr>
        <w:t>特别提示</w:t>
      </w:r>
    </w:p>
    <w:p w14:paraId="2137BFFA">
      <w:pPr>
        <w:spacing w:line="200" w:lineRule="exact"/>
        <w:ind w:firstLine="340" w:firstLineChars="200"/>
        <w:rPr>
          <w:b/>
          <w:spacing w:val="10"/>
          <w:sz w:val="15"/>
          <w:szCs w:val="15"/>
        </w:rPr>
      </w:pPr>
      <w:r>
        <w:rPr>
          <w:rFonts w:hint="eastAsia"/>
          <w:b/>
          <w:spacing w:val="10"/>
          <w:sz w:val="15"/>
          <w:szCs w:val="15"/>
        </w:rPr>
        <w:t>在本理财产品存续期内：</w:t>
      </w:r>
    </w:p>
    <w:p w14:paraId="021CA1F4">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B15A5CC">
      <w:pPr>
        <w:numPr>
          <w:ilvl w:val="0"/>
          <w:numId w:val="12"/>
        </w:numPr>
        <w:spacing w:line="200" w:lineRule="exact"/>
        <w:ind w:firstLine="340" w:firstLineChars="200"/>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0948F1F3">
      <w:pPr>
        <w:numPr>
          <w:ilvl w:val="0"/>
          <w:numId w:val="12"/>
        </w:numPr>
        <w:spacing w:line="200" w:lineRule="exact"/>
        <w:ind w:firstLine="340" w:firstLineChars="200"/>
        <w:rPr>
          <w:b/>
          <w:bCs/>
          <w:spacing w:val="10"/>
          <w:sz w:val="15"/>
          <w:szCs w:val="15"/>
        </w:rPr>
      </w:pPr>
      <w:r>
        <w:rPr>
          <w:rFonts w:hint="eastAsia"/>
          <w:b/>
          <w:bCs/>
          <w:spacing w:val="10"/>
          <w:sz w:val="15"/>
          <w:szCs w:val="15"/>
        </w:rPr>
        <w:t>免责条款</w:t>
      </w:r>
    </w:p>
    <w:p w14:paraId="2484FBE1">
      <w:pPr>
        <w:pStyle w:val="6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14:paraId="221FB7B9">
      <w:pPr>
        <w:pStyle w:val="6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14:paraId="0F47802C">
      <w:pPr>
        <w:pStyle w:val="6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14:paraId="1539E9A1">
      <w:pPr>
        <w:pStyle w:val="6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14:paraId="423F8109">
      <w:pPr>
        <w:numPr>
          <w:ilvl w:val="0"/>
          <w:numId w:val="12"/>
        </w:numPr>
        <w:spacing w:line="200" w:lineRule="exact"/>
        <w:ind w:firstLine="340" w:firstLineChars="200"/>
        <w:rPr>
          <w:spacing w:val="10"/>
          <w:sz w:val="15"/>
          <w:szCs w:val="15"/>
        </w:rPr>
      </w:pPr>
      <w:r>
        <w:rPr>
          <w:rFonts w:hint="eastAsia"/>
          <w:bCs/>
          <w:spacing w:val="10"/>
          <w:sz w:val="15"/>
          <w:szCs w:val="15"/>
        </w:rPr>
        <w:t>赔偿</w:t>
      </w:r>
      <w:r>
        <w:rPr>
          <w:rFonts w:hint="eastAsia"/>
          <w:spacing w:val="10"/>
          <w:sz w:val="15"/>
          <w:szCs w:val="15"/>
        </w:rPr>
        <w:t>及责任限制</w:t>
      </w:r>
    </w:p>
    <w:p w14:paraId="7A619515">
      <w:pPr>
        <w:spacing w:line="200" w:lineRule="exact"/>
        <w:ind w:firstLine="340" w:firstLineChars="20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14:paraId="1EC00B8A">
      <w:pPr>
        <w:spacing w:line="200" w:lineRule="exact"/>
        <w:ind w:firstLine="340" w:firstLineChars="20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14:paraId="58BC86D0">
      <w:pPr>
        <w:numPr>
          <w:ilvl w:val="0"/>
          <w:numId w:val="12"/>
        </w:numPr>
        <w:spacing w:line="200" w:lineRule="exact"/>
        <w:ind w:firstLine="340" w:firstLineChars="200"/>
        <w:rPr>
          <w:spacing w:val="10"/>
          <w:sz w:val="15"/>
          <w:szCs w:val="15"/>
        </w:rPr>
      </w:pPr>
      <w:r>
        <w:rPr>
          <w:rFonts w:hint="eastAsia"/>
          <w:bCs/>
          <w:spacing w:val="10"/>
          <w:sz w:val="15"/>
          <w:szCs w:val="15"/>
        </w:rPr>
        <w:t>抵销</w:t>
      </w:r>
    </w:p>
    <w:p w14:paraId="228C269D">
      <w:pPr>
        <w:pStyle w:val="6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14:paraId="3AC81578">
      <w:pPr>
        <w:pStyle w:val="6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14:paraId="0E1B49DA">
      <w:pPr>
        <w:numPr>
          <w:ilvl w:val="0"/>
          <w:numId w:val="12"/>
        </w:numPr>
        <w:spacing w:line="200" w:lineRule="exact"/>
        <w:ind w:firstLine="340" w:firstLineChars="200"/>
        <w:rPr>
          <w:spacing w:val="10"/>
          <w:sz w:val="15"/>
          <w:szCs w:val="15"/>
        </w:rPr>
      </w:pPr>
      <w:r>
        <w:rPr>
          <w:rFonts w:hint="eastAsia"/>
          <w:bCs/>
          <w:spacing w:val="10"/>
          <w:sz w:val="15"/>
          <w:szCs w:val="15"/>
        </w:rPr>
        <w:t>弃权</w:t>
      </w:r>
    </w:p>
    <w:p w14:paraId="5C905F81">
      <w:pPr>
        <w:spacing w:line="200" w:lineRule="exact"/>
        <w:ind w:firstLine="340" w:firstLineChars="20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0AB1A3D4">
      <w:pPr>
        <w:numPr>
          <w:ilvl w:val="0"/>
          <w:numId w:val="12"/>
        </w:numPr>
        <w:spacing w:line="200" w:lineRule="exact"/>
        <w:ind w:firstLine="340" w:firstLineChars="200"/>
        <w:rPr>
          <w:spacing w:val="10"/>
          <w:sz w:val="15"/>
          <w:szCs w:val="15"/>
        </w:rPr>
      </w:pPr>
      <w:r>
        <w:rPr>
          <w:rFonts w:hint="eastAsia"/>
          <w:spacing w:val="10"/>
          <w:sz w:val="15"/>
          <w:szCs w:val="15"/>
        </w:rPr>
        <w:t>可分割性</w:t>
      </w:r>
    </w:p>
    <w:p w14:paraId="753C5EE5">
      <w:pPr>
        <w:spacing w:line="200" w:lineRule="exact"/>
        <w:ind w:firstLine="340" w:firstLineChars="20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14:paraId="3B3DDD5F">
      <w:pPr>
        <w:numPr>
          <w:ilvl w:val="0"/>
          <w:numId w:val="12"/>
        </w:numPr>
        <w:spacing w:line="200" w:lineRule="exact"/>
        <w:ind w:firstLine="340" w:firstLineChars="200"/>
        <w:rPr>
          <w:spacing w:val="10"/>
          <w:sz w:val="15"/>
          <w:szCs w:val="15"/>
        </w:rPr>
      </w:pPr>
      <w:r>
        <w:rPr>
          <w:rFonts w:hint="eastAsia"/>
          <w:spacing w:val="10"/>
          <w:sz w:val="15"/>
          <w:szCs w:val="15"/>
        </w:rPr>
        <w:t>税收条款</w:t>
      </w:r>
    </w:p>
    <w:p w14:paraId="5C1E581D">
      <w:pPr>
        <w:spacing w:line="200" w:lineRule="exact"/>
        <w:ind w:firstLine="340" w:firstLineChars="200"/>
        <w:rPr>
          <w:spacing w:val="10"/>
          <w:sz w:val="15"/>
          <w:szCs w:val="15"/>
        </w:rPr>
      </w:pPr>
      <w:r>
        <w:rPr>
          <w:rFonts w:hint="eastAsia"/>
          <w:spacing w:val="10"/>
          <w:sz w:val="15"/>
          <w:szCs w:val="15"/>
        </w:rPr>
        <w:t>以对应期次的《理财产品说明书》约定的税务处理方式为准，如遇国家政策调整则相应执行最新政策。</w:t>
      </w:r>
    </w:p>
    <w:p w14:paraId="2EB3E215">
      <w:pPr>
        <w:spacing w:line="200" w:lineRule="exact"/>
        <w:ind w:firstLine="340" w:firstLineChars="200"/>
        <w:rPr>
          <w:spacing w:val="10"/>
          <w:sz w:val="15"/>
          <w:szCs w:val="15"/>
        </w:rPr>
      </w:pPr>
      <w:r>
        <w:rPr>
          <w:b/>
          <w:bCs/>
          <w:spacing w:val="10"/>
          <w:sz w:val="15"/>
          <w:szCs w:val="15"/>
        </w:rPr>
        <w:t>9.</w:t>
      </w:r>
      <w:r>
        <w:rPr>
          <w:rFonts w:hint="eastAsia"/>
          <w:b/>
          <w:bCs/>
          <w:spacing w:val="10"/>
          <w:sz w:val="15"/>
          <w:szCs w:val="15"/>
        </w:rPr>
        <w:t>争议处理</w:t>
      </w:r>
    </w:p>
    <w:p w14:paraId="4D6CC848">
      <w:pPr>
        <w:spacing w:line="200" w:lineRule="exact"/>
        <w:ind w:firstLine="340" w:firstLineChars="20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14:paraId="69A98AE5">
      <w:pPr>
        <w:spacing w:line="200" w:lineRule="exact"/>
        <w:ind w:firstLine="340" w:firstLineChars="200"/>
        <w:rPr>
          <w:b/>
          <w:bCs/>
          <w:spacing w:val="10"/>
          <w:sz w:val="15"/>
          <w:szCs w:val="15"/>
        </w:rPr>
      </w:pPr>
      <w:r>
        <w:rPr>
          <w:b/>
          <w:bCs/>
          <w:spacing w:val="10"/>
          <w:sz w:val="15"/>
          <w:szCs w:val="15"/>
        </w:rPr>
        <w:t>10.</w:t>
      </w:r>
      <w:r>
        <w:rPr>
          <w:rFonts w:hint="eastAsia"/>
          <w:b/>
          <w:bCs/>
          <w:spacing w:val="10"/>
          <w:sz w:val="15"/>
          <w:szCs w:val="15"/>
        </w:rPr>
        <w:t>协议的生效和终止</w:t>
      </w:r>
    </w:p>
    <w:p w14:paraId="42765DE2">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54078395">
      <w:pPr>
        <w:spacing w:line="200" w:lineRule="exact"/>
        <w:ind w:firstLine="340" w:firstLineChars="20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14:paraId="06C92493">
      <w:pPr>
        <w:numPr>
          <w:ilvl w:val="0"/>
          <w:numId w:val="15"/>
        </w:numPr>
        <w:spacing w:line="200" w:lineRule="exact"/>
        <w:ind w:firstLine="340" w:firstLineChars="20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14:paraId="402157C4">
      <w:pPr>
        <w:numPr>
          <w:ilvl w:val="0"/>
          <w:numId w:val="15"/>
        </w:numPr>
        <w:spacing w:line="200" w:lineRule="exact"/>
        <w:ind w:firstLine="340" w:firstLineChars="20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14:paraId="1ADDC5C2">
      <w:pPr>
        <w:spacing w:line="200" w:lineRule="exact"/>
        <w:ind w:firstLine="340" w:firstLineChars="200"/>
        <w:rPr>
          <w:b/>
          <w:bCs/>
          <w:spacing w:val="10"/>
          <w:sz w:val="15"/>
          <w:szCs w:val="15"/>
        </w:rPr>
      </w:pPr>
      <w:r>
        <w:rPr>
          <w:b/>
          <w:bCs/>
          <w:spacing w:val="10"/>
          <w:sz w:val="15"/>
          <w:szCs w:val="15"/>
        </w:rPr>
        <w:t>11.</w:t>
      </w:r>
      <w:r>
        <w:rPr>
          <w:rFonts w:hint="eastAsia"/>
          <w:b/>
          <w:bCs/>
          <w:spacing w:val="10"/>
          <w:sz w:val="15"/>
          <w:szCs w:val="15"/>
        </w:rPr>
        <w:t>乙方声明</w:t>
      </w:r>
    </w:p>
    <w:p w14:paraId="0AF2F174">
      <w:pPr>
        <w:spacing w:line="200" w:lineRule="exact"/>
        <w:ind w:firstLine="340" w:firstLineChars="200"/>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407F276A">
      <w:pPr>
        <w:spacing w:line="200" w:lineRule="exact"/>
        <w:ind w:firstLine="340" w:firstLineChars="200"/>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14:paraId="691FD679">
      <w:pPr>
        <w:spacing w:line="200" w:lineRule="exact"/>
        <w:ind w:firstLine="340" w:firstLineChars="200"/>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7F6A2B02">
      <w:pPr>
        <w:spacing w:line="200" w:lineRule="exact"/>
        <w:ind w:firstLine="340" w:firstLineChars="200"/>
        <w:rPr>
          <w:spacing w:val="10"/>
          <w:sz w:val="15"/>
          <w:szCs w:val="15"/>
        </w:rPr>
      </w:pPr>
    </w:p>
    <w:p w14:paraId="665343DF">
      <w:pPr>
        <w:spacing w:line="200" w:lineRule="exact"/>
        <w:ind w:firstLine="340" w:firstLineChars="200"/>
        <w:rPr>
          <w:spacing w:val="10"/>
          <w:sz w:val="15"/>
          <w:szCs w:val="15"/>
        </w:rPr>
      </w:pPr>
    </w:p>
    <w:tbl>
      <w:tblPr>
        <w:tblStyle w:val="15"/>
        <w:tblW w:w="0" w:type="dxa"/>
        <w:jc w:val="center"/>
        <w:tblLayout w:type="fixed"/>
        <w:tblCellMar>
          <w:top w:w="0" w:type="dxa"/>
          <w:left w:w="108" w:type="dxa"/>
          <w:bottom w:w="0" w:type="dxa"/>
          <w:right w:w="108" w:type="dxa"/>
        </w:tblCellMar>
      </w:tblPr>
      <w:tblGrid>
        <w:gridCol w:w="4812"/>
        <w:gridCol w:w="4713"/>
      </w:tblGrid>
      <w:tr w14:paraId="50D640D2">
        <w:tblPrEx>
          <w:tblCellMar>
            <w:top w:w="0" w:type="dxa"/>
            <w:left w:w="108" w:type="dxa"/>
            <w:bottom w:w="0" w:type="dxa"/>
            <w:right w:w="108" w:type="dxa"/>
          </w:tblCellMar>
        </w:tblPrEx>
        <w:trPr>
          <w:jc w:val="center"/>
        </w:trPr>
        <w:tc>
          <w:tcPr>
            <w:tcW w:w="4812" w:type="dxa"/>
          </w:tcPr>
          <w:p w14:paraId="090D3710">
            <w:pPr>
              <w:spacing w:line="200" w:lineRule="exact"/>
              <w:rPr>
                <w:spacing w:val="10"/>
                <w:sz w:val="15"/>
                <w:szCs w:val="15"/>
              </w:rPr>
            </w:pPr>
            <w:r>
              <w:rPr>
                <w:rFonts w:hint="eastAsia"/>
                <w:spacing w:val="10"/>
                <w:sz w:val="15"/>
                <w:szCs w:val="15"/>
              </w:rPr>
              <w:t>个人投资者（如适用）：</w:t>
            </w:r>
          </w:p>
        </w:tc>
        <w:tc>
          <w:tcPr>
            <w:tcW w:w="4713" w:type="dxa"/>
          </w:tcPr>
          <w:p w14:paraId="1E8EA10A">
            <w:pPr>
              <w:spacing w:line="200" w:lineRule="exact"/>
              <w:rPr>
                <w:spacing w:val="10"/>
                <w:sz w:val="15"/>
                <w:szCs w:val="15"/>
              </w:rPr>
            </w:pPr>
            <w:r>
              <w:rPr>
                <w:rFonts w:hint="eastAsia"/>
                <w:spacing w:val="10"/>
                <w:sz w:val="15"/>
                <w:szCs w:val="15"/>
              </w:rPr>
              <w:t>机构投资者（如适用）：</w:t>
            </w:r>
          </w:p>
        </w:tc>
      </w:tr>
      <w:tr w14:paraId="4E03D910">
        <w:tblPrEx>
          <w:tblCellMar>
            <w:top w:w="0" w:type="dxa"/>
            <w:left w:w="108" w:type="dxa"/>
            <w:bottom w:w="0" w:type="dxa"/>
            <w:right w:w="108" w:type="dxa"/>
          </w:tblCellMar>
        </w:tblPrEx>
        <w:trPr>
          <w:jc w:val="center"/>
        </w:trPr>
        <w:tc>
          <w:tcPr>
            <w:tcW w:w="4812" w:type="dxa"/>
          </w:tcPr>
          <w:p w14:paraId="0198CB1D">
            <w:pPr>
              <w:spacing w:line="200" w:lineRule="exact"/>
              <w:ind w:firstLine="340" w:firstLineChars="200"/>
              <w:rPr>
                <w:spacing w:val="10"/>
                <w:sz w:val="15"/>
                <w:szCs w:val="15"/>
              </w:rPr>
            </w:pPr>
          </w:p>
          <w:p w14:paraId="0B3FDAF8">
            <w:pPr>
              <w:spacing w:line="200" w:lineRule="exact"/>
              <w:rPr>
                <w:spacing w:val="10"/>
                <w:sz w:val="15"/>
                <w:szCs w:val="15"/>
              </w:rPr>
            </w:pPr>
            <w:r>
              <w:rPr>
                <w:rFonts w:hint="eastAsia"/>
                <w:spacing w:val="10"/>
                <w:sz w:val="15"/>
                <w:szCs w:val="15"/>
              </w:rPr>
              <w:t>投资者：（签名）</w:t>
            </w:r>
          </w:p>
          <w:p w14:paraId="05F8F601">
            <w:pPr>
              <w:spacing w:line="200" w:lineRule="exact"/>
              <w:ind w:firstLine="680" w:firstLineChars="400"/>
              <w:rPr>
                <w:spacing w:val="10"/>
                <w:sz w:val="15"/>
                <w:szCs w:val="15"/>
              </w:rPr>
            </w:pPr>
          </w:p>
          <w:p w14:paraId="187855E7">
            <w:pPr>
              <w:spacing w:line="200" w:lineRule="exact"/>
              <w:ind w:firstLine="850" w:firstLineChars="500"/>
              <w:rPr>
                <w:spacing w:val="10"/>
                <w:sz w:val="15"/>
                <w:szCs w:val="15"/>
              </w:rPr>
            </w:pPr>
          </w:p>
          <w:p w14:paraId="63524500">
            <w:pPr>
              <w:spacing w:line="200" w:lineRule="exact"/>
              <w:ind w:firstLine="850" w:firstLineChars="500"/>
              <w:rPr>
                <w:spacing w:val="10"/>
                <w:sz w:val="15"/>
                <w:szCs w:val="15"/>
              </w:rPr>
            </w:pPr>
            <w:r>
              <w:rPr>
                <w:rFonts w:hint="eastAsia"/>
                <w:spacing w:val="10"/>
                <w:sz w:val="15"/>
                <w:szCs w:val="15"/>
              </w:rPr>
              <w:t>年月日</w:t>
            </w:r>
          </w:p>
        </w:tc>
        <w:tc>
          <w:tcPr>
            <w:tcW w:w="4713" w:type="dxa"/>
          </w:tcPr>
          <w:p w14:paraId="43F7A8DE">
            <w:pPr>
              <w:spacing w:line="200" w:lineRule="exact"/>
              <w:ind w:firstLine="340" w:firstLineChars="200"/>
              <w:rPr>
                <w:spacing w:val="10"/>
                <w:sz w:val="15"/>
                <w:szCs w:val="15"/>
              </w:rPr>
            </w:pPr>
          </w:p>
          <w:p w14:paraId="0D60252C">
            <w:pPr>
              <w:spacing w:line="200" w:lineRule="exact"/>
              <w:rPr>
                <w:spacing w:val="10"/>
                <w:sz w:val="15"/>
                <w:szCs w:val="15"/>
              </w:rPr>
            </w:pPr>
            <w:r>
              <w:rPr>
                <w:rFonts w:hint="eastAsia"/>
                <w:spacing w:val="10"/>
                <w:sz w:val="15"/>
                <w:szCs w:val="15"/>
              </w:rPr>
              <w:t>投资者：（公章或合同专用章）</w:t>
            </w:r>
          </w:p>
          <w:p w14:paraId="3D221425">
            <w:pPr>
              <w:spacing w:line="200" w:lineRule="exact"/>
              <w:rPr>
                <w:spacing w:val="10"/>
                <w:sz w:val="15"/>
                <w:szCs w:val="15"/>
              </w:rPr>
            </w:pPr>
          </w:p>
          <w:p w14:paraId="76A077FB">
            <w:pPr>
              <w:spacing w:line="200" w:lineRule="exact"/>
              <w:rPr>
                <w:spacing w:val="10"/>
                <w:sz w:val="15"/>
                <w:szCs w:val="15"/>
              </w:rPr>
            </w:pPr>
          </w:p>
          <w:p w14:paraId="5D6E8DCE">
            <w:pPr>
              <w:spacing w:line="200" w:lineRule="exact"/>
              <w:rPr>
                <w:spacing w:val="10"/>
                <w:sz w:val="15"/>
                <w:szCs w:val="15"/>
              </w:rPr>
            </w:pPr>
            <w:r>
              <w:rPr>
                <w:rFonts w:hint="eastAsia"/>
                <w:spacing w:val="10"/>
                <w:sz w:val="15"/>
                <w:szCs w:val="15"/>
              </w:rPr>
              <w:t>法定代表人或授权代理人：（签名或盖章）</w:t>
            </w:r>
          </w:p>
          <w:p w14:paraId="08BCEB7C">
            <w:pPr>
              <w:spacing w:line="200" w:lineRule="exact"/>
              <w:ind w:firstLine="680" w:firstLineChars="400"/>
              <w:rPr>
                <w:spacing w:val="10"/>
                <w:sz w:val="15"/>
                <w:szCs w:val="15"/>
              </w:rPr>
            </w:pPr>
          </w:p>
          <w:p w14:paraId="7A0BAE11">
            <w:pPr>
              <w:spacing w:line="200" w:lineRule="exact"/>
              <w:ind w:firstLine="680" w:firstLineChars="400"/>
              <w:rPr>
                <w:spacing w:val="10"/>
                <w:sz w:val="15"/>
                <w:szCs w:val="15"/>
              </w:rPr>
            </w:pPr>
            <w:r>
              <w:rPr>
                <w:rFonts w:hint="eastAsia"/>
                <w:spacing w:val="10"/>
                <w:sz w:val="15"/>
                <w:szCs w:val="15"/>
              </w:rPr>
              <w:t>年月日</w:t>
            </w:r>
          </w:p>
        </w:tc>
      </w:tr>
    </w:tbl>
    <w:p w14:paraId="43008D33">
      <w:pPr>
        <w:spacing w:line="200" w:lineRule="exact"/>
        <w:rPr>
          <w:rFonts w:ascii="Times New Roman" w:hAnsi="Times New Roman"/>
          <w:spacing w:val="10"/>
          <w:sz w:val="15"/>
          <w:szCs w:val="15"/>
        </w:rPr>
      </w:pPr>
    </w:p>
    <w:p w14:paraId="56ECB6C6">
      <w:pPr>
        <w:widowControl/>
        <w:spacing w:line="360" w:lineRule="auto"/>
        <w:jc w:val="left"/>
        <w:rPr>
          <w:kern w:val="0"/>
        </w:rPr>
        <w:sectPr>
          <w:pgSz w:w="11906" w:h="16838"/>
          <w:pgMar w:top="720" w:right="720" w:bottom="720" w:left="720" w:header="851" w:footer="992" w:gutter="0"/>
          <w:cols w:space="720" w:num="1"/>
          <w:docGrid w:type="lines" w:linePitch="312" w:charSpace="0"/>
        </w:sectPr>
      </w:pPr>
    </w:p>
    <w:p w14:paraId="0EF70502">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16A3139">
      <w:pPr>
        <w:pStyle w:val="62"/>
        <w:spacing w:line="360" w:lineRule="auto"/>
        <w:ind w:firstLine="400"/>
        <w:rPr>
          <w:rFonts w:hint="eastAsia"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6A6ED983">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一、重要提示</w:t>
      </w:r>
    </w:p>
    <w:p w14:paraId="02851236">
      <w:pPr>
        <w:pStyle w:val="62"/>
        <w:spacing w:line="360" w:lineRule="auto"/>
        <w:ind w:firstLine="440" w:firstLineChars="0"/>
        <w:rPr>
          <w:rFonts w:hint="eastAsia"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理财产品面临的风险详见对应期次《理财产品风险揭示书》和《理财产品说明书》的详细条款，乙方应仔细阅读并充分理解对应期次理财产品可能发生的风险。</w:t>
      </w:r>
    </w:p>
    <w:p w14:paraId="0BC2E25E">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27E47E39">
      <w:pPr>
        <w:pStyle w:val="62"/>
        <w:spacing w:line="360" w:lineRule="auto"/>
        <w:ind w:firstLine="402"/>
        <w:rPr>
          <w:rFonts w:hint="eastAsia" w:ascii="宋体" w:hAnsi="宋体" w:cs="宋体"/>
          <w:b/>
          <w:sz w:val="20"/>
          <w:szCs w:val="21"/>
        </w:rPr>
      </w:pPr>
      <w:r>
        <w:rPr>
          <w:rFonts w:hint="eastAsia" w:ascii="宋体" w:hAnsi="宋体" w:cs="宋体"/>
          <w:b/>
          <w:sz w:val="20"/>
          <w:szCs w:val="21"/>
        </w:rPr>
        <w:t>二、双方权利与义务</w:t>
      </w:r>
    </w:p>
    <w:p w14:paraId="18C66F65">
      <w:pPr>
        <w:pStyle w:val="62"/>
        <w:spacing w:line="360" w:lineRule="auto"/>
        <w:ind w:firstLine="400"/>
        <w:rPr>
          <w:rFonts w:hint="eastAsia" w:ascii="宋体" w:hAnsi="宋体" w:cs="宋体"/>
          <w:sz w:val="20"/>
          <w:szCs w:val="21"/>
        </w:rPr>
      </w:pPr>
      <w:r>
        <w:rPr>
          <w:rFonts w:hint="eastAsia" w:ascii="宋体" w:hAnsi="宋体" w:cs="宋体"/>
          <w:sz w:val="20"/>
          <w:szCs w:val="21"/>
        </w:rPr>
        <w:t>（一）甲方的权利与义务</w:t>
      </w:r>
    </w:p>
    <w:p w14:paraId="47CCD45B">
      <w:pPr>
        <w:pStyle w:val="62"/>
        <w:spacing w:line="360" w:lineRule="auto"/>
        <w:ind w:firstLine="400"/>
        <w:rPr>
          <w:rFonts w:hint="eastAsia" w:ascii="宋体" w:hAnsi="宋体" w:cs="宋体"/>
          <w:sz w:val="20"/>
          <w:szCs w:val="21"/>
        </w:rPr>
      </w:pPr>
      <w:r>
        <w:rPr>
          <w:rFonts w:hint="eastAsia" w:ascii="宋体" w:hAnsi="宋体" w:cs="宋体"/>
          <w:sz w:val="20"/>
          <w:szCs w:val="21"/>
        </w:rPr>
        <w:t>1.甲方应当履行恪尽职守、勤勉尽责、诚实守信、有效管理的义务。</w:t>
      </w:r>
    </w:p>
    <w:p w14:paraId="0742028E">
      <w:pPr>
        <w:pStyle w:val="62"/>
        <w:spacing w:line="360" w:lineRule="auto"/>
        <w:ind w:firstLine="400"/>
        <w:rPr>
          <w:rFonts w:hint="eastAsia" w:ascii="宋体" w:hAnsi="宋体" w:cs="宋体"/>
          <w:sz w:val="20"/>
          <w:szCs w:val="21"/>
        </w:rPr>
      </w:pPr>
      <w:r>
        <w:rPr>
          <w:rFonts w:hint="eastAsia" w:ascii="宋体" w:hAnsi="宋体" w:cs="宋体"/>
          <w:sz w:val="20"/>
          <w:szCs w:val="21"/>
        </w:rPr>
        <w:t>2.按照法律法规及对应期次《理财产品说明书》约定的投资范围和权限内，甲方拥有管理和运用理财资金的权利。</w:t>
      </w:r>
    </w:p>
    <w:p w14:paraId="706E1852">
      <w:pPr>
        <w:pStyle w:val="62"/>
        <w:spacing w:line="360" w:lineRule="auto"/>
        <w:ind w:firstLine="400"/>
        <w:rPr>
          <w:rFonts w:hint="eastAsia" w:ascii="宋体" w:hAnsi="宋体" w:cs="宋体"/>
          <w:sz w:val="20"/>
          <w:szCs w:val="21"/>
        </w:rPr>
      </w:pPr>
      <w:r>
        <w:rPr>
          <w:rFonts w:hint="eastAsia" w:ascii="宋体" w:hAnsi="宋体" w:cs="宋体"/>
          <w:sz w:val="20"/>
          <w:szCs w:val="21"/>
        </w:rPr>
        <w:t>3.甲方应当按照对应期次《理财产品说明书》的约定向乙方分配收益。</w:t>
      </w:r>
    </w:p>
    <w:p w14:paraId="1750EFEA">
      <w:pPr>
        <w:pStyle w:val="62"/>
        <w:spacing w:line="360" w:lineRule="auto"/>
        <w:ind w:firstLine="400"/>
        <w:rPr>
          <w:rFonts w:hint="eastAsia" w:ascii="宋体" w:hAnsi="宋体" w:cs="宋体"/>
          <w:sz w:val="20"/>
          <w:szCs w:val="21"/>
        </w:rPr>
      </w:pPr>
      <w:r>
        <w:rPr>
          <w:rFonts w:hint="eastAsia" w:ascii="宋体" w:hAnsi="宋体" w:cs="宋体"/>
          <w:sz w:val="20"/>
          <w:szCs w:val="21"/>
        </w:rPr>
        <w:t>4.甲方有权按照对应期次《理财产品说明书》的约定收取相应费用。</w:t>
      </w:r>
    </w:p>
    <w:p w14:paraId="14A0783D">
      <w:pPr>
        <w:pStyle w:val="62"/>
        <w:spacing w:line="360" w:lineRule="auto"/>
        <w:ind w:firstLine="400"/>
        <w:rPr>
          <w:rFonts w:hint="eastAsia" w:ascii="宋体" w:hAnsi="宋体" w:cs="宋体"/>
          <w:sz w:val="20"/>
          <w:szCs w:val="21"/>
        </w:rPr>
      </w:pPr>
      <w:r>
        <w:rPr>
          <w:rFonts w:hint="eastAsia" w:ascii="宋体" w:hAnsi="宋体" w:cs="宋体"/>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51FA0092">
      <w:pPr>
        <w:pStyle w:val="62"/>
        <w:spacing w:line="360" w:lineRule="auto"/>
        <w:ind w:firstLine="400"/>
        <w:rPr>
          <w:rFonts w:hint="eastAsia"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787ABBF">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7.甲方有权根据产品运作的需要选任必要的业务合作机构，并确定合作模式等相关内容。</w:t>
      </w:r>
    </w:p>
    <w:p w14:paraId="0D2ACDA5">
      <w:pPr>
        <w:pStyle w:val="62"/>
        <w:spacing w:line="360" w:lineRule="auto"/>
        <w:ind w:firstLine="440" w:firstLineChars="0"/>
        <w:rPr>
          <w:rFonts w:hint="eastAsia"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1525EABA">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0EF097A0">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CC5B5D4">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077D4D0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10.法律法规规定或理财产品销售文件约定的其它权利及义务。</w:t>
      </w:r>
    </w:p>
    <w:p w14:paraId="6388BB93">
      <w:pPr>
        <w:pStyle w:val="62"/>
        <w:spacing w:line="360" w:lineRule="auto"/>
        <w:ind w:firstLine="400"/>
        <w:rPr>
          <w:rFonts w:hint="eastAsia" w:ascii="宋体" w:hAnsi="宋体" w:cs="宋体"/>
          <w:sz w:val="20"/>
          <w:szCs w:val="21"/>
        </w:rPr>
      </w:pPr>
      <w:r>
        <w:rPr>
          <w:rFonts w:hint="eastAsia" w:ascii="宋体" w:hAnsi="宋体" w:cs="宋体"/>
          <w:sz w:val="20"/>
          <w:szCs w:val="21"/>
        </w:rPr>
        <w:t>（二）乙方的权利与义务</w:t>
      </w:r>
    </w:p>
    <w:p w14:paraId="6D564597">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1.乙方保证具有完全民事行为能力，有完全适当的资格与能力订立并履行本协议。</w:t>
      </w:r>
    </w:p>
    <w:p w14:paraId="7A97268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14:paraId="51AF7443">
      <w:pPr>
        <w:pStyle w:val="62"/>
        <w:spacing w:line="360" w:lineRule="auto"/>
        <w:ind w:firstLine="400"/>
        <w:rPr>
          <w:rFonts w:hint="eastAsia" w:ascii="宋体" w:hAnsi="宋体" w:cs="宋体"/>
          <w:sz w:val="20"/>
          <w:szCs w:val="21"/>
        </w:rPr>
      </w:pPr>
      <w:r>
        <w:rPr>
          <w:rFonts w:hint="eastAsia" w:ascii="宋体" w:hAnsi="宋体" w:cs="宋体"/>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14:paraId="5499B263">
      <w:pPr>
        <w:pStyle w:val="62"/>
        <w:spacing w:line="360" w:lineRule="auto"/>
        <w:ind w:firstLine="400"/>
        <w:rPr>
          <w:rFonts w:hint="eastAsia" w:ascii="宋体" w:hAnsi="宋体" w:cs="宋体"/>
          <w:sz w:val="20"/>
          <w:szCs w:val="21"/>
        </w:rPr>
      </w:pPr>
      <w:r>
        <w:rPr>
          <w:rFonts w:hint="eastAsia" w:ascii="宋体" w:hAnsi="宋体" w:cs="宋体"/>
          <w:sz w:val="20"/>
          <w:szCs w:val="21"/>
        </w:rPr>
        <w:t>4.乙方已仔细阅读《投资者权益须知》《理财产品说明书》并清楚知晓其内容，接受并签署《理财产品风险揭示书》《理财产品销售协议书》和本协议。</w:t>
      </w:r>
    </w:p>
    <w:p w14:paraId="6A6C788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14:paraId="3B4B985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D1F5722">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3AC84BEB">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C6F0DD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F818EBB">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0A698C9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11.法律法规规定或理财产品销售文件约定的其它权利及义务。</w:t>
      </w:r>
    </w:p>
    <w:p w14:paraId="4793E3CC">
      <w:pPr>
        <w:pStyle w:val="62"/>
        <w:spacing w:line="360" w:lineRule="auto"/>
        <w:ind w:firstLine="402"/>
        <w:rPr>
          <w:rFonts w:hint="eastAsia" w:ascii="宋体" w:hAnsi="宋体" w:cs="宋体"/>
          <w:b/>
          <w:sz w:val="20"/>
          <w:szCs w:val="21"/>
        </w:rPr>
      </w:pPr>
      <w:r>
        <w:rPr>
          <w:rFonts w:hint="eastAsia" w:ascii="宋体" w:hAnsi="宋体" w:cs="宋体"/>
          <w:b/>
          <w:sz w:val="20"/>
          <w:szCs w:val="21"/>
        </w:rPr>
        <w:t>三、协议的生效和终止</w:t>
      </w:r>
    </w:p>
    <w:p w14:paraId="56098996">
      <w:pPr>
        <w:pStyle w:val="62"/>
        <w:spacing w:line="360" w:lineRule="auto"/>
        <w:ind w:firstLine="400"/>
        <w:rPr>
          <w:rFonts w:hint="eastAsia"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C709490">
      <w:pPr>
        <w:pStyle w:val="62"/>
        <w:spacing w:line="360" w:lineRule="auto"/>
        <w:ind w:firstLine="400"/>
        <w:rPr>
          <w:rFonts w:hint="eastAsia"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BFC3313">
      <w:pPr>
        <w:pStyle w:val="62"/>
        <w:spacing w:line="360" w:lineRule="auto"/>
        <w:ind w:firstLine="400"/>
        <w:rPr>
          <w:rFonts w:hint="eastAsia"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4A9F96F0">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四、不可抗力及其他免责条款</w:t>
      </w:r>
    </w:p>
    <w:p w14:paraId="440722CA">
      <w:pPr>
        <w:pStyle w:val="62"/>
        <w:spacing w:line="360" w:lineRule="auto"/>
        <w:ind w:firstLine="402"/>
        <w:rPr>
          <w:rFonts w:hint="eastAsia"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015ABEA8">
      <w:pPr>
        <w:pStyle w:val="62"/>
        <w:spacing w:line="360" w:lineRule="auto"/>
        <w:ind w:firstLine="402"/>
        <w:rPr>
          <w:rFonts w:hint="eastAsia" w:ascii="宋体" w:hAnsi="宋体" w:cs="宋体"/>
          <w:b/>
          <w:sz w:val="20"/>
          <w:szCs w:val="21"/>
        </w:rPr>
      </w:pPr>
      <w:r>
        <w:rPr>
          <w:rFonts w:hint="eastAsia" w:ascii="宋体" w:hAnsi="宋体" w:cs="宋体"/>
          <w:b/>
          <w:sz w:val="20"/>
          <w:szCs w:val="21"/>
        </w:rPr>
        <w:t>非因甲方原因（包括但不限于理财产品投资者遗失理财产品销售文件、理财产品销售文件被盗用等原因）造成的损失，甲方不承担责任。</w:t>
      </w:r>
    </w:p>
    <w:p w14:paraId="2509D9EE">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五、争议解决</w:t>
      </w:r>
    </w:p>
    <w:p w14:paraId="1513CCE5">
      <w:pPr>
        <w:pStyle w:val="62"/>
        <w:spacing w:line="360" w:lineRule="auto"/>
        <w:ind w:firstLine="402"/>
        <w:rPr>
          <w:rFonts w:hint="eastAsia"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074EEB63">
      <w:pPr>
        <w:pStyle w:val="62"/>
        <w:spacing w:line="360" w:lineRule="auto"/>
        <w:ind w:firstLine="402"/>
        <w:rPr>
          <w:rFonts w:hint="eastAsia"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010F7EDB">
      <w:pPr>
        <w:pStyle w:val="62"/>
        <w:spacing w:line="360" w:lineRule="auto"/>
        <w:ind w:firstLine="400"/>
        <w:rPr>
          <w:rFonts w:hint="eastAsia" w:ascii="宋体" w:hAnsi="宋体" w:cs="宋体"/>
          <w:sz w:val="20"/>
          <w:szCs w:val="21"/>
        </w:rPr>
      </w:pPr>
    </w:p>
    <w:p w14:paraId="669E0E63">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29ECD578">
      <w:pPr>
        <w:pStyle w:val="62"/>
        <w:spacing w:line="360" w:lineRule="auto"/>
        <w:ind w:firstLine="400"/>
        <w:rPr>
          <w:rFonts w:hint="eastAsia" w:ascii="宋体" w:hAnsi="宋体" w:cs="宋体"/>
          <w:sz w:val="20"/>
          <w:szCs w:val="21"/>
        </w:rPr>
      </w:pPr>
      <w:r>
        <w:rPr>
          <w:rFonts w:hint="eastAsia" w:ascii="宋体" w:hAnsi="宋体" w:cs="宋体"/>
          <w:sz w:val="20"/>
          <w:szCs w:val="21"/>
        </w:rPr>
        <w:t>（以下无正文）</w:t>
      </w:r>
    </w:p>
    <w:p w14:paraId="044FE15C">
      <w:pPr>
        <w:pStyle w:val="62"/>
        <w:spacing w:line="360" w:lineRule="auto"/>
        <w:ind w:firstLine="400"/>
        <w:rPr>
          <w:rFonts w:hint="eastAsia" w:ascii="宋体" w:hAnsi="宋体" w:cs="宋体"/>
          <w:sz w:val="20"/>
          <w:szCs w:val="21"/>
        </w:rPr>
      </w:pPr>
    </w:p>
    <w:p w14:paraId="2BDE409E">
      <w:pPr>
        <w:spacing w:line="360" w:lineRule="auto"/>
        <w:rPr>
          <w:rStyle w:val="63"/>
          <w:sz w:val="20"/>
          <w:szCs w:val="21"/>
        </w:rPr>
      </w:pPr>
      <w:r>
        <w:rPr>
          <w:rStyle w:val="63"/>
          <w:rFonts w:hint="default"/>
          <w:sz w:val="20"/>
        </w:rPr>
        <w:t>个人投资者（如适用）：                   机构投资者（如适用）：</w:t>
      </w:r>
    </w:p>
    <w:p w14:paraId="2C1A62A7">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7B7C3EFF">
      <w:pPr>
        <w:spacing w:line="360" w:lineRule="auto"/>
        <w:rPr>
          <w:rStyle w:val="63"/>
          <w:rFonts w:hint="default"/>
          <w:sz w:val="20"/>
        </w:rPr>
      </w:pPr>
      <w:r>
        <w:rPr>
          <w:rStyle w:val="63"/>
          <w:rFonts w:hint="default"/>
          <w:sz w:val="20"/>
        </w:rPr>
        <w:t xml:space="preserve">   年  月  日                           法定代表人或授权代理人：（签名或盖章）</w:t>
      </w:r>
    </w:p>
    <w:p w14:paraId="6A0AFE8A">
      <w:pPr>
        <w:widowControl/>
        <w:jc w:val="left"/>
        <w:rPr>
          <w:rFonts w:ascii="Times New Roman" w:hAnsi="Times New Roman"/>
          <w:sz w:val="18"/>
          <w:szCs w:val="18"/>
        </w:rPr>
      </w:pPr>
      <w:r>
        <w:rPr>
          <w:rStyle w:val="63"/>
          <w:rFonts w:hint="default"/>
          <w:sz w:val="20"/>
        </w:rPr>
        <w:t xml:space="preserve">                                            年    月   日</w:t>
      </w:r>
    </w:p>
    <w:p w14:paraId="5119A10E">
      <w:pPr>
        <w:pStyle w:val="5"/>
        <w:ind w:firstLine="0" w:firstLineChars="0"/>
        <w:rPr>
          <w:b/>
          <w:kern w:val="0"/>
          <w:sz w:val="15"/>
          <w:szCs w:val="11"/>
        </w:rPr>
      </w:pPr>
    </w:p>
    <w:p w14:paraId="3764D8CC">
      <w:pPr>
        <w:rPr>
          <w:rFonts w:hint="eastAsia" w:ascii="方正黑体_GBK" w:hAnsi="方正黑体_GBK" w:eastAsia="方正黑体_GBK"/>
          <w:b/>
          <w:bCs/>
          <w:color w:val="3D3D3D"/>
          <w:kern w:val="0"/>
          <w:sz w:val="15"/>
          <w:szCs w:val="15"/>
          <w:lang w:val="en-US" w:eastAsia="zh-CN"/>
        </w:rPr>
      </w:pPr>
    </w:p>
    <w:sectPr>
      <w:head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E0E3">
    <w:pPr>
      <w:pStyle w:val="11"/>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1">
    <w:nsid w:val="03D62ECE"/>
    <w:multiLevelType w:val="multilevel"/>
    <w:tmpl w:val="03D62ECE"/>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25B654F3"/>
    <w:multiLevelType w:val="multilevel"/>
    <w:tmpl w:val="25B654F3"/>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7">
    <w:nsid w:val="510A3506"/>
    <w:multiLevelType w:val="singleLevel"/>
    <w:tmpl w:val="510A3506"/>
    <w:lvl w:ilvl="0" w:tentative="0">
      <w:start w:val="1"/>
      <w:numFmt w:val="decimal"/>
      <w:suff w:val="nothing"/>
      <w:lvlText w:val="（%1）"/>
      <w:lvlJc w:val="left"/>
      <w:pPr>
        <w:ind w:left="0" w:firstLine="0"/>
      </w:pPr>
    </w:lvl>
  </w:abstractNum>
  <w:abstractNum w:abstractNumId="8">
    <w:nsid w:val="54B02AA4"/>
    <w:multiLevelType w:val="multilevel"/>
    <w:tmpl w:val="54B02AA4"/>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DF84C9C"/>
    <w:multiLevelType w:val="singleLevel"/>
    <w:tmpl w:val="5DF84C9C"/>
    <w:lvl w:ilvl="0" w:tentative="0">
      <w:start w:val="1"/>
      <w:numFmt w:val="decimal"/>
      <w:suff w:val="nothing"/>
      <w:lvlText w:val="%1."/>
      <w:lvlJc w:val="left"/>
      <w:pPr>
        <w:ind w:left="0" w:firstLine="0"/>
      </w:pPr>
    </w:lvl>
  </w:abstractNum>
  <w:abstractNum w:abstractNumId="10">
    <w:nsid w:val="5DF84CBD"/>
    <w:multiLevelType w:val="singleLevel"/>
    <w:tmpl w:val="5DF84CBD"/>
    <w:lvl w:ilvl="0" w:tentative="0">
      <w:start w:val="1"/>
      <w:numFmt w:val="decimal"/>
      <w:suff w:val="nothing"/>
      <w:lvlText w:val="（%1）"/>
      <w:lvlJc w:val="left"/>
      <w:pPr>
        <w:ind w:left="0" w:firstLine="0"/>
      </w:pPr>
    </w:lvl>
  </w:abstractNum>
  <w:abstractNum w:abstractNumId="11">
    <w:nsid w:val="5DF84D07"/>
    <w:multiLevelType w:val="singleLevel"/>
    <w:tmpl w:val="5DF84D07"/>
    <w:lvl w:ilvl="0" w:tentative="0">
      <w:start w:val="1"/>
      <w:numFmt w:val="decimal"/>
      <w:suff w:val="nothing"/>
      <w:lvlText w:val="（%1）"/>
      <w:lvlJc w:val="left"/>
      <w:pPr>
        <w:ind w:left="0" w:firstLine="0"/>
      </w:pPr>
    </w:lvl>
  </w:abstractNum>
  <w:abstractNum w:abstractNumId="12">
    <w:nsid w:val="6D2A3EBA"/>
    <w:multiLevelType w:val="singleLevel"/>
    <w:tmpl w:val="6D2A3EBA"/>
    <w:lvl w:ilvl="0" w:tentative="0">
      <w:start w:val="1"/>
      <w:numFmt w:val="decimal"/>
      <w:suff w:val="nothing"/>
      <w:lvlText w:val="（%1）"/>
      <w:lvlJc w:val="left"/>
      <w:pPr>
        <w:ind w:left="0" w:firstLine="0"/>
      </w:pPr>
    </w:lvl>
  </w:abstractNum>
  <w:abstractNum w:abstractNumId="13">
    <w:nsid w:val="72183CF9"/>
    <w:multiLevelType w:val="multilevel"/>
    <w:tmpl w:val="72183CF9"/>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4">
    <w:nsid w:val="7A29506B"/>
    <w:multiLevelType w:val="singleLevel"/>
    <w:tmpl w:val="7A29506B"/>
    <w:lvl w:ilvl="0" w:tentative="0">
      <w:start w:val="1"/>
      <w:numFmt w:val="decimal"/>
      <w:suff w:val="nothing"/>
      <w:lvlText w:val="（%1）"/>
      <w:lvlJc w:val="left"/>
      <w:pPr>
        <w:ind w:left="0" w:firstLine="0"/>
      </w:pPr>
    </w:lvl>
  </w:abstractNum>
  <w:num w:numId="1">
    <w:abstractNumId w:val="0"/>
  </w:num>
  <w:num w:numId="2">
    <w:abstractNumId w:val="1"/>
  </w:num>
  <w:num w:numId="3">
    <w:abstractNumId w:val="2"/>
  </w:num>
  <w:num w:numId="4">
    <w:abstractNumId w:val="13"/>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000000"/>
    <w:rsid w:val="0E98566C"/>
    <w:rsid w:val="57C016D3"/>
    <w:rsid w:val="61410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next w:val="6"/>
    <w:semiHidden/>
    <w:unhideWhenUsed/>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styleId="6">
    <w:name w:val="toc 1"/>
    <w:basedOn w:val="1"/>
    <w:next w:val="1"/>
    <w:qFormat/>
    <w:uiPriority w:val="0"/>
  </w:style>
  <w:style w:type="paragraph" w:styleId="7">
    <w:name w:val="annotation text"/>
    <w:next w:val="6"/>
    <w:semiHidden/>
    <w:unhideWhenUsed/>
    <w:qFormat/>
    <w:uiPriority w:val="0"/>
    <w:pPr>
      <w:widowControl w:val="0"/>
    </w:pPr>
    <w:rPr>
      <w:rFonts w:ascii="Times New Roman" w:hAnsi="Times New Roman" w:eastAsia="宋体" w:cs="Times New Roman"/>
      <w:kern w:val="2"/>
      <w:sz w:val="18"/>
      <w:szCs w:val="18"/>
      <w:lang w:val="en-US" w:eastAsia="zh-CN" w:bidi="ar-SA"/>
    </w:rPr>
  </w:style>
  <w:style w:type="paragraph" w:styleId="8">
    <w:name w:val="toc 5"/>
    <w:basedOn w:val="1"/>
    <w:next w:val="1"/>
    <w:qFormat/>
    <w:uiPriority w:val="0"/>
    <w:pPr>
      <w:ind w:left="1680"/>
    </w:pPr>
  </w:style>
  <w:style w:type="paragraph" w:styleId="9">
    <w:name w:val="toc 3"/>
    <w:basedOn w:val="1"/>
    <w:next w:val="1"/>
    <w:qFormat/>
    <w:uiPriority w:val="0"/>
    <w:pPr>
      <w:ind w:left="840"/>
    </w:pPr>
  </w:style>
  <w:style w:type="paragraph" w:styleId="10">
    <w:name w:val="footer"/>
    <w:basedOn w:val="1"/>
    <w:qFormat/>
    <w:uiPriority w:val="0"/>
    <w:pPr>
      <w:tabs>
        <w:tab w:val="center" w:pos="4153"/>
        <w:tab w:val="right" w:pos="8307"/>
      </w:tabs>
      <w:adjustRightInd/>
      <w:snapToGrid w:val="0"/>
      <w:contextualSpacing w:val="0"/>
      <w:jc w:val="left"/>
    </w:pPr>
    <w:rPr>
      <w:sz w:val="18"/>
    </w:rPr>
  </w:style>
  <w:style w:type="paragraph" w:styleId="11">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next w:val="6"/>
    <w:semiHidden/>
    <w:unhideWhenUsed/>
    <w:qFormat/>
    <w:uiPriority w:val="0"/>
    <w:pPr>
      <w:spacing w:before="102" w:after="102" w:line="1099" w:lineRule="atLeast"/>
      <w:ind w:firstLine="419"/>
    </w:pPr>
    <w:rPr>
      <w:rFonts w:ascii="Times New Roman" w:hAnsi="Times New Roman" w:eastAsia="宋体" w:cs="Times New Roman"/>
      <w:kern w:val="0"/>
      <w:sz w:val="24"/>
      <w:szCs w:val="24"/>
      <w:lang w:val="en-US" w:eastAsia="zh-CN" w:bidi="ar-SA"/>
    </w:rPr>
  </w:style>
  <w:style w:type="character" w:styleId="17">
    <w:name w:val="Strong"/>
    <w:qFormat/>
    <w:uiPriority w:val="0"/>
    <w:rPr>
      <w:b/>
    </w:rPr>
  </w:style>
  <w:style w:type="paragraph" w:customStyle="1" w:styleId="18">
    <w:name w:val="Normal36711aa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0a4fae5e"/>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4a55a9da"/>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f5636068"/>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b8cecc6c"/>
    <w:qFormat/>
    <w:uiPriority w:val="0"/>
  </w:style>
  <w:style w:type="paragraph" w:customStyle="1" w:styleId="23">
    <w:name w:val="toc 1a73dda9b"/>
    <w:basedOn w:val="18"/>
    <w:next w:val="1"/>
    <w:qFormat/>
    <w:uiPriority w:val="0"/>
  </w:style>
  <w:style w:type="paragraph" w:customStyle="1" w:styleId="24">
    <w:name w:val="toc 2783dca20"/>
    <w:basedOn w:val="18"/>
    <w:next w:val="1"/>
    <w:qFormat/>
    <w:uiPriority w:val="0"/>
    <w:pPr>
      <w:ind w:left="420"/>
    </w:pPr>
  </w:style>
  <w:style w:type="paragraph" w:customStyle="1" w:styleId="25">
    <w:name w:val="toc 33a0fa5df"/>
    <w:basedOn w:val="18"/>
    <w:next w:val="1"/>
    <w:qFormat/>
    <w:uiPriority w:val="0"/>
    <w:pPr>
      <w:ind w:left="840"/>
    </w:pPr>
  </w:style>
  <w:style w:type="paragraph" w:customStyle="1" w:styleId="26">
    <w:name w:val="toc 4b44e5822"/>
    <w:basedOn w:val="18"/>
    <w:next w:val="1"/>
    <w:qFormat/>
    <w:uiPriority w:val="0"/>
    <w:pPr>
      <w:ind w:left="1260"/>
    </w:pPr>
  </w:style>
  <w:style w:type="paragraph" w:customStyle="1" w:styleId="27">
    <w:name w:val="toc 53b35cc63"/>
    <w:basedOn w:val="18"/>
    <w:next w:val="1"/>
    <w:qFormat/>
    <w:uiPriority w:val="0"/>
    <w:pPr>
      <w:ind w:left="1680"/>
    </w:pPr>
  </w:style>
  <w:style w:type="paragraph" w:customStyle="1" w:styleId="28">
    <w:name w:val="header3884f356"/>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4add0641"/>
    <w:basedOn w:val="18"/>
    <w:qFormat/>
    <w:uiPriority w:val="0"/>
    <w:pPr>
      <w:tabs>
        <w:tab w:val="center" w:pos="4153"/>
        <w:tab w:val="right" w:pos="8307"/>
      </w:tabs>
      <w:adjustRightInd/>
      <w:snapToGrid w:val="0"/>
      <w:contextualSpacing w:val="0"/>
      <w:jc w:val="left"/>
    </w:pPr>
    <w:rPr>
      <w:sz w:val="18"/>
    </w:rPr>
  </w:style>
  <w:style w:type="character" w:customStyle="1" w:styleId="30">
    <w:name w:val="Strong6a55d1ab"/>
    <w:qFormat/>
    <w:uiPriority w:val="0"/>
    <w:rPr>
      <w:b/>
    </w:rPr>
  </w:style>
  <w:style w:type="paragraph" w:customStyle="1" w:styleId="31">
    <w:name w:val="annotation text23"/>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d8c0d793"/>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84ba10cc"/>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d2a6b48f"/>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5656f66c"/>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945aab7c"/>
    <w:qFormat/>
    <w:uiPriority w:val="0"/>
  </w:style>
  <w:style w:type="paragraph" w:customStyle="1" w:styleId="37">
    <w:name w:val="Normal Indent7e611607"/>
    <w:basedOn w:val="32"/>
    <w:qFormat/>
    <w:uiPriority w:val="0"/>
    <w:pPr>
      <w:ind w:firstLine="200" w:firstLineChars="200"/>
    </w:pPr>
  </w:style>
  <w:style w:type="paragraph" w:customStyle="1" w:styleId="38">
    <w:name w:val="toc 5ef197535"/>
    <w:basedOn w:val="32"/>
    <w:next w:val="1"/>
    <w:qFormat/>
    <w:uiPriority w:val="0"/>
    <w:pPr>
      <w:ind w:left="1680"/>
    </w:pPr>
  </w:style>
  <w:style w:type="paragraph" w:customStyle="1" w:styleId="39">
    <w:name w:val="toc 301b4e487"/>
    <w:basedOn w:val="32"/>
    <w:next w:val="1"/>
    <w:qFormat/>
    <w:uiPriority w:val="0"/>
    <w:pPr>
      <w:ind w:left="840"/>
    </w:pPr>
  </w:style>
  <w:style w:type="paragraph" w:customStyle="1" w:styleId="40">
    <w:name w:val="footer92e12826"/>
    <w:basedOn w:val="32"/>
    <w:qFormat/>
    <w:uiPriority w:val="0"/>
    <w:pPr>
      <w:tabs>
        <w:tab w:val="center" w:pos="4153"/>
        <w:tab w:val="right" w:pos="8307"/>
      </w:tabs>
      <w:adjustRightInd/>
      <w:snapToGrid w:val="0"/>
      <w:contextualSpacing w:val="0"/>
      <w:jc w:val="left"/>
    </w:pPr>
    <w:rPr>
      <w:sz w:val="18"/>
    </w:rPr>
  </w:style>
  <w:style w:type="paragraph" w:customStyle="1" w:styleId="41">
    <w:name w:val="headerc2ca2be4"/>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4cee2589"/>
    <w:basedOn w:val="32"/>
    <w:next w:val="1"/>
    <w:qFormat/>
    <w:uiPriority w:val="0"/>
  </w:style>
  <w:style w:type="paragraph" w:customStyle="1" w:styleId="43">
    <w:name w:val="toc 48cc69a42"/>
    <w:basedOn w:val="32"/>
    <w:next w:val="1"/>
    <w:qFormat/>
    <w:uiPriority w:val="0"/>
    <w:pPr>
      <w:ind w:left="1260"/>
    </w:pPr>
  </w:style>
  <w:style w:type="paragraph" w:customStyle="1" w:styleId="44">
    <w:name w:val="toc 21f2f5b9b"/>
    <w:basedOn w:val="32"/>
    <w:next w:val="1"/>
    <w:qFormat/>
    <w:uiPriority w:val="0"/>
    <w:pPr>
      <w:ind w:left="420"/>
    </w:pPr>
  </w:style>
  <w:style w:type="paragraph" w:customStyle="1" w:styleId="45">
    <w:name w:val="Normal (Web)81f1eeda"/>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9ad529b59ad529b5"/>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3b4c562b3b4c562b"/>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0bf02ba80bf02ba8"/>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d8ca5adcd8ca5adc"/>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066d6ae3066d6ae3"/>
    <w:qFormat/>
    <w:uiPriority w:val="0"/>
  </w:style>
  <w:style w:type="paragraph" w:customStyle="1" w:styleId="52">
    <w:name w:val="引文目录17161a1207161a120"/>
    <w:basedOn w:val="47"/>
    <w:next w:val="1"/>
    <w:qFormat/>
    <w:uiPriority w:val="0"/>
    <w:pPr>
      <w:ind w:left="200" w:leftChars="200"/>
    </w:pPr>
  </w:style>
  <w:style w:type="paragraph" w:customStyle="1" w:styleId="53">
    <w:name w:val="toc 529cf5fbc29cf5fbc"/>
    <w:basedOn w:val="47"/>
    <w:next w:val="1"/>
    <w:qFormat/>
    <w:uiPriority w:val="0"/>
    <w:pPr>
      <w:ind w:left="1680"/>
    </w:pPr>
  </w:style>
  <w:style w:type="paragraph" w:customStyle="1" w:styleId="54">
    <w:name w:val="toc 37b952d297b952d29"/>
    <w:basedOn w:val="47"/>
    <w:next w:val="1"/>
    <w:qFormat/>
    <w:uiPriority w:val="0"/>
    <w:pPr>
      <w:ind w:left="840"/>
    </w:pPr>
  </w:style>
  <w:style w:type="paragraph" w:customStyle="1" w:styleId="55">
    <w:name w:val="footer4402eb484402eb48"/>
    <w:basedOn w:val="47"/>
    <w:qFormat/>
    <w:uiPriority w:val="0"/>
    <w:pPr>
      <w:tabs>
        <w:tab w:val="center" w:pos="4153"/>
        <w:tab w:val="right" w:pos="8307"/>
      </w:tabs>
      <w:adjustRightInd/>
      <w:snapToGrid w:val="0"/>
      <w:contextualSpacing w:val="0"/>
      <w:jc w:val="left"/>
    </w:pPr>
    <w:rPr>
      <w:sz w:val="18"/>
    </w:rPr>
  </w:style>
  <w:style w:type="paragraph" w:customStyle="1" w:styleId="56">
    <w:name w:val="header8c2aa9a68c2aa9a6"/>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f1718115f1718115"/>
    <w:basedOn w:val="47"/>
    <w:next w:val="1"/>
    <w:qFormat/>
    <w:uiPriority w:val="0"/>
  </w:style>
  <w:style w:type="paragraph" w:customStyle="1" w:styleId="58">
    <w:name w:val="toc 40a8df2950a8df295"/>
    <w:basedOn w:val="47"/>
    <w:next w:val="1"/>
    <w:qFormat/>
    <w:uiPriority w:val="0"/>
    <w:pPr>
      <w:ind w:left="1260"/>
    </w:pPr>
  </w:style>
  <w:style w:type="paragraph" w:customStyle="1" w:styleId="59">
    <w:name w:val="toc 23b86f14e3b86f14e"/>
    <w:basedOn w:val="47"/>
    <w:next w:val="1"/>
    <w:qFormat/>
    <w:uiPriority w:val="0"/>
    <w:pPr>
      <w:ind w:left="420"/>
    </w:pPr>
  </w:style>
  <w:style w:type="paragraph" w:customStyle="1" w:styleId="60">
    <w:name w:val="列出段落1998ec51a998ec51a"/>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next w:val="6"/>
    <w:qFormat/>
    <w:uiPriority w:val="99"/>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62">
    <w:name w:val="列表段落1"/>
    <w:next w:val="6"/>
    <w:qFormat/>
    <w:uiPriority w:val="34"/>
    <w:pPr>
      <w:widowControl w:val="0"/>
      <w:ind w:firstLine="420" w:firstLineChars="200"/>
      <w:jc w:val="both"/>
    </w:pPr>
    <w:rPr>
      <w:rFonts w:ascii="Times New Roman" w:hAnsi="Times New Roman" w:eastAsia="宋体" w:cs="Times New Roman"/>
      <w:kern w:val="2"/>
      <w:sz w:val="18"/>
      <w:szCs w:val="18"/>
      <w:lang w:val="en-US" w:eastAsia="zh-CN" w:bidi="ar-SA"/>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22773</Words>
  <Characters>23234</Characters>
  <Lines>81</Lines>
  <Paragraphs>27</Paragraphs>
  <TotalTime>0</TotalTime>
  <ScaleCrop>false</ScaleCrop>
  <LinksUpToDate>false</LinksUpToDate>
  <CharactersWithSpaces>23385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2024-12-06T01:51:55Z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02AEF6DED8204361AEB85E71A6BDE641</vt:lpwstr>
  </property>
  <property fmtid="{D5CDD505-2E9C-101B-9397-08002B2CF9AE}" pid="4" name="_KSOProductBuildMID">
    <vt:lpwstr>CQWMD6GD79TA059GQPR8PL0J7NNMOXGREX0XNJDWXFM8TQWTZRBRVCJWFY9HP86RXSM6OOLYZI678MXJQNFTRFF689EMWIWBAOOOYHB38131CBFC8767CEFF024A538A6ACC9401</vt:lpwstr>
  </property>
  <property fmtid="{D5CDD505-2E9C-101B-9397-08002B2CF9AE}" pid="5" name="_KSOProductBuildSID">
    <vt:lpwstr>DEA0CE682DA445ACA017A929E8CC9B75</vt:lpwstr>
  </property>
</Properties>
</file>