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FI6BW7RYQ00BGRGR8DL0D7NZ0O7GR9J0XTJDWXF8RTFCTZMBR6CJ7FY9TPFRRBSMXEOLYZIW78HNJRUFTIF8D89C0WLCB8XODPHB3F21E7EA5E35C5449AFE745D8B4111B97" Type="http://schemas.microsoft.com/office/2006/relationships/officeDocumentMain" Target="docProps/core.xml"/><Relationship Id="CPWM06GP7RYA06HGQPR8YL0Y7ZD0OSGRES06WJDWXF88TQWT6MBJICJWFSTTPB8RXUMXNOZGZIW78INJEFFARFFZ8RZMWIWBBSOORHB3DAF64C16FF0870AF58180EA13EEB8561"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78" w:rsidRPr="0093038C" w:rsidRDefault="005D5CC8">
      <w:pPr>
        <w:spacing w:line="240" w:lineRule="atLeast"/>
        <w:jc w:val="center"/>
        <w:rPr>
          <w:rFonts w:ascii="方正黑体_GBK" w:eastAsia="方正黑体_GBK"/>
          <w:b/>
          <w:kern w:val="0"/>
          <w:sz w:val="24"/>
        </w:rPr>
      </w:pPr>
      <w:r w:rsidRPr="0093038C">
        <w:rPr>
          <w:rFonts w:ascii="方正黑体_GBK" w:eastAsia="方正黑体_GBK" w:hint="eastAsia"/>
          <w:b/>
          <w:kern w:val="0"/>
          <w:sz w:val="24"/>
        </w:rPr>
        <w:t>理财产品风险揭示书</w:t>
      </w:r>
    </w:p>
    <w:p w:rsidR="00D74678" w:rsidRPr="0093038C" w:rsidRDefault="005D5CC8">
      <w:pPr>
        <w:spacing w:line="240" w:lineRule="atLeast"/>
        <w:jc w:val="center"/>
        <w:rPr>
          <w:rFonts w:ascii="方正黑体_GBK" w:eastAsia="方正黑体_GBK"/>
          <w:color w:val="3D3D3D"/>
          <w:kern w:val="0"/>
        </w:rPr>
      </w:pPr>
      <w:r w:rsidRPr="0093038C">
        <w:rPr>
          <w:rFonts w:ascii="方正黑体_GBK" w:eastAsia="方正黑体_GBK" w:hint="eastAsia"/>
          <w:b/>
          <w:i/>
          <w:kern w:val="0"/>
          <w:sz w:val="24"/>
          <w:u w:val="single"/>
        </w:rPr>
        <w:t>“理财非存款、产品有风险、投资须谨慎”！</w:t>
      </w:r>
    </w:p>
    <w:p w:rsidR="00D74678" w:rsidRPr="0093038C" w:rsidRDefault="005D5CC8">
      <w:pPr>
        <w:widowControl/>
        <w:spacing w:line="200" w:lineRule="exact"/>
        <w:ind w:firstLineChars="200" w:firstLine="260"/>
        <w:rPr>
          <w:rFonts w:ascii="方正黑体_GBK" w:eastAsia="方正黑体_GBK"/>
          <w:b/>
          <w:color w:val="3D3D3D"/>
          <w:kern w:val="0"/>
          <w:sz w:val="13"/>
        </w:rPr>
      </w:pPr>
      <w:r w:rsidRPr="0093038C">
        <w:rPr>
          <w:rFonts w:ascii="方正黑体_GBK" w:eastAsia="方正黑体_GBK" w:hint="eastAsia"/>
          <w:b/>
          <w:color w:val="3D3D3D"/>
          <w:kern w:val="0"/>
          <w:sz w:val="13"/>
        </w:rPr>
        <w:t>本理财产品是</w:t>
      </w:r>
      <w:r w:rsidRPr="0093038C">
        <w:rPr>
          <w:rFonts w:ascii="方正黑体_GBK" w:eastAsia="方正黑体_GBK" w:hint="eastAsia"/>
          <w:b/>
          <w:i/>
          <w:color w:val="3D3D3D"/>
          <w:kern w:val="0"/>
          <w:sz w:val="20"/>
          <w:u w:val="single"/>
        </w:rPr>
        <w:t>开放式、固定收益类、公募、净值型</w:t>
      </w:r>
      <w:r w:rsidRPr="0093038C">
        <w:rPr>
          <w:rFonts w:ascii="方正黑体_GBK" w:eastAsia="方正黑体_GBK" w:hint="eastAsia"/>
          <w:b/>
          <w:color w:val="3D3D3D"/>
          <w:kern w:val="0"/>
          <w:sz w:val="13"/>
        </w:rPr>
        <w:t>理财产品，</w:t>
      </w:r>
      <w:r w:rsidRPr="0093038C">
        <w:rPr>
          <w:rFonts w:ascii="方正黑体_GBK" w:eastAsia="方正黑体_GBK" w:hint="eastAsia"/>
          <w:b/>
          <w:i/>
          <w:color w:val="3D3D3D"/>
          <w:kern w:val="0"/>
          <w:sz w:val="20"/>
          <w:u w:val="single"/>
        </w:rPr>
        <w:t>不保证本金和收益</w:t>
      </w:r>
      <w:r w:rsidRPr="0093038C">
        <w:rPr>
          <w:rFonts w:ascii="方正黑体_GBK" w:eastAsia="方正黑体_GBK" w:hint="eastAsia"/>
          <w:b/>
          <w:color w:val="3D3D3D"/>
          <w:kern w:val="0"/>
          <w:sz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rsidR="00D74678" w:rsidRPr="0093038C" w:rsidRDefault="005D5CC8">
      <w:pPr>
        <w:widowControl/>
        <w:spacing w:line="200" w:lineRule="exact"/>
        <w:ind w:firstLineChars="200" w:firstLine="260"/>
        <w:rPr>
          <w:rFonts w:ascii="方正黑体_GBK" w:eastAsia="方正黑体_GBK"/>
          <w:b/>
          <w:color w:val="3D3D3D"/>
          <w:kern w:val="0"/>
          <w:sz w:val="13"/>
        </w:rPr>
      </w:pPr>
      <w:r w:rsidRPr="0093038C">
        <w:rPr>
          <w:rFonts w:ascii="方正黑体_GBK" w:eastAsia="方正黑体_GBK" w:hint="eastAsia"/>
          <w:b/>
          <w:color w:val="3D3D3D"/>
          <w:kern w:val="0"/>
          <w:sz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sidRPr="0093038C">
        <w:rPr>
          <w:rFonts w:ascii="方正黑体_GBK" w:eastAsia="方正黑体_GBK" w:hint="eastAsia"/>
          <w:b/>
          <w:color w:val="3D3D3D"/>
          <w:kern w:val="0"/>
          <w:sz w:val="13"/>
        </w:rPr>
        <w:t>代表您</w:t>
      </w:r>
      <w:proofErr w:type="gramEnd"/>
      <w:r w:rsidRPr="0093038C">
        <w:rPr>
          <w:rFonts w:ascii="方正黑体_GBK" w:eastAsia="方正黑体_GBK" w:hint="eastAsia"/>
          <w:b/>
          <w:color w:val="3D3D3D"/>
          <w:kern w:val="0"/>
          <w:sz w:val="13"/>
        </w:rPr>
        <w:t>可能获得的实际收益，亦不构成南银理财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D74678" w:rsidRPr="0093038C" w:rsidRDefault="005D5CC8">
      <w:pPr>
        <w:widowControl/>
        <w:spacing w:line="200" w:lineRule="exact"/>
        <w:ind w:firstLineChars="200" w:firstLine="260"/>
        <w:rPr>
          <w:rFonts w:ascii="方正黑体_GBK" w:eastAsia="方正黑体_GBK"/>
          <w:color w:val="3D3D3D"/>
          <w:kern w:val="0"/>
          <w:sz w:val="13"/>
        </w:rPr>
      </w:pPr>
      <w:proofErr w:type="gramStart"/>
      <w:r w:rsidRPr="0093038C">
        <w:rPr>
          <w:rFonts w:ascii="方正黑体_GBK" w:eastAsia="方正黑体_GBK" w:hint="eastAsia"/>
          <w:b/>
          <w:color w:val="3D3D3D"/>
          <w:kern w:val="0"/>
          <w:sz w:val="13"/>
        </w:rPr>
        <w:t>本风险</w:t>
      </w:r>
      <w:proofErr w:type="gramEnd"/>
      <w:r w:rsidRPr="0093038C">
        <w:rPr>
          <w:rFonts w:ascii="方正黑体_GBK" w:eastAsia="方正黑体_GBK" w:hint="eastAsia"/>
          <w:b/>
          <w:color w:val="3D3D3D"/>
          <w:kern w:val="0"/>
          <w:sz w:val="13"/>
        </w:rPr>
        <w:t>揭示书列示的风险指理财产品项下可能涉及的风险，包括但不限于：</w:t>
      </w:r>
    </w:p>
    <w:p w:rsidR="00D74678" w:rsidRPr="0093038C" w:rsidRDefault="005D5CC8">
      <w:pPr>
        <w:widowControl/>
        <w:spacing w:line="200" w:lineRule="exact"/>
        <w:ind w:firstLineChars="200" w:firstLine="260"/>
        <w:rPr>
          <w:rFonts w:ascii="方正黑体_GBK" w:eastAsia="方正黑体_GBK"/>
          <w:color w:val="3D3D3D"/>
          <w:kern w:val="0"/>
          <w:sz w:val="13"/>
        </w:rPr>
      </w:pPr>
      <w:r w:rsidRPr="0093038C">
        <w:rPr>
          <w:rFonts w:ascii="方正黑体_GBK" w:eastAsia="方正黑体_GBK" w:hint="eastAsia"/>
          <w:color w:val="3D3D3D"/>
          <w:kern w:val="0"/>
          <w:sz w:val="13"/>
        </w:rPr>
        <w:t>第一条 理财产品共性风险提示和管控措施</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（三）市场风险：理财产品面临的市场风险主要指因市场各种风险因子变动，使得理财产品配置资产的价格发生波动，导致理财产品本金或收益蒙受损失的风险。</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等。</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（四）流动性风险：从理财产品资产配置的角度，流动性风险主要是指因理财产品所配置资产缺乏流动性，使得理财</w:t>
      </w:r>
      <w:proofErr w:type="gramStart"/>
      <w:r w:rsidRPr="0093038C">
        <w:rPr>
          <w:rFonts w:ascii="方正黑体_GBK" w:eastAsia="方正黑体_GBK" w:hint="eastAsia"/>
          <w:color w:val="3D3D3D"/>
          <w:kern w:val="0"/>
          <w:sz w:val="13"/>
        </w:rPr>
        <w:t>期末或</w:t>
      </w:r>
      <w:proofErr w:type="gramEnd"/>
      <w:r w:rsidRPr="0093038C">
        <w:rPr>
          <w:rFonts w:ascii="方正黑体_GBK" w:eastAsia="方正黑体_GBK" w:hint="eastAsia"/>
          <w:color w:val="3D3D3D"/>
          <w:kern w:val="0"/>
          <w:sz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（五）交易对手风险：理财产品面临的交易对手风险主要是指南银理财为理财产品配置资产的过程中，因交易对手交易失误、过错等原因，导致理财产品本金或收益蒙受损失的风险。</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（七）抵质押物变现风险：本理财产品部分投资资产项下可能设定抵质押等担保品，如发生该部分投资资产项下相应义务人违约等情形时，将会对抵质押物进行处置，</w:t>
      </w:r>
      <w:proofErr w:type="gramStart"/>
      <w:r w:rsidRPr="0093038C">
        <w:rPr>
          <w:rFonts w:ascii="方正黑体_GBK" w:eastAsia="方正黑体_GBK" w:hint="eastAsia"/>
          <w:color w:val="3D3D3D"/>
          <w:kern w:val="0"/>
          <w:sz w:val="13"/>
        </w:rPr>
        <w:t>如抵质押</w:t>
      </w:r>
      <w:proofErr w:type="gramEnd"/>
      <w:r w:rsidRPr="0093038C">
        <w:rPr>
          <w:rFonts w:ascii="方正黑体_GBK" w:eastAsia="方正黑体_GBK" w:hint="eastAsia"/>
          <w:color w:val="3D3D3D"/>
          <w:kern w:val="0"/>
          <w:sz w:val="13"/>
        </w:rPr>
        <w:t>物等不能变现或不能及时、足额变现或抵质押物的变现价值不足以覆盖该部分投资资产本金及投资收益，则可能影响投资者收益，发生本理财产品净值下跌甚至本金损失的情况。</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（十）提前终止风险：在理财产品存续期内，南银理财有权根据市场变化等情况提前终止本理财产品，一旦理财产品被提前终止，投资者可能面临再投资风险、本金和收益蒙受损失的风险。</w:t>
      </w:r>
    </w:p>
    <w:p w:rsidR="00D74678" w:rsidRPr="0093038C" w:rsidRDefault="005D5CC8">
      <w:pPr>
        <w:widowControl/>
        <w:spacing w:line="200" w:lineRule="exact"/>
        <w:ind w:firstLine="260"/>
        <w:rPr>
          <w:rFonts w:ascii="方正黑体_GBK" w:eastAsia="方正黑体_GBK"/>
          <w:b/>
          <w:color w:val="3D3D3D"/>
          <w:kern w:val="0"/>
          <w:sz w:val="13"/>
        </w:rPr>
      </w:pPr>
      <w:r w:rsidRPr="0093038C">
        <w:rPr>
          <w:rFonts w:ascii="方正黑体_GBK" w:eastAsia="方正黑体_GBK" w:hint="eastAsia"/>
          <w:b/>
          <w:color w:val="3D3D3D"/>
          <w:kern w:val="0"/>
          <w:sz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D74678" w:rsidRPr="0093038C" w:rsidRDefault="005D5CC8">
      <w:pPr>
        <w:widowControl/>
        <w:spacing w:line="200" w:lineRule="exact"/>
        <w:ind w:firstLine="260"/>
        <w:rPr>
          <w:rFonts w:ascii="方正黑体_GBK" w:eastAsia="方正黑体_GBK"/>
          <w:b/>
          <w:color w:val="3D3D3D"/>
          <w:kern w:val="0"/>
          <w:sz w:val="13"/>
        </w:rPr>
      </w:pPr>
      <w:r w:rsidRPr="0093038C">
        <w:rPr>
          <w:rFonts w:ascii="方正黑体_GBK" w:eastAsia="方正黑体_GBK" w:hint="eastAsia"/>
          <w:b/>
          <w:color w:val="3D3D3D"/>
          <w:kern w:val="0"/>
          <w:sz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D74678" w:rsidRPr="0093038C" w:rsidRDefault="005D5CC8">
      <w:pPr>
        <w:widowControl/>
        <w:spacing w:line="200" w:lineRule="exact"/>
        <w:ind w:firstLine="260"/>
        <w:rPr>
          <w:rFonts w:ascii="方正黑体_GBK" w:eastAsia="方正黑体_GBK"/>
          <w:b/>
          <w:color w:val="3D3D3D"/>
          <w:kern w:val="0"/>
          <w:sz w:val="13"/>
        </w:rPr>
      </w:pPr>
      <w:r w:rsidRPr="0093038C">
        <w:rPr>
          <w:rFonts w:ascii="方正黑体_GBK" w:eastAsia="方正黑体_GBK" w:hint="eastAsia"/>
          <w:b/>
          <w:color w:val="3D3D3D"/>
          <w:kern w:val="0"/>
          <w:sz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（十三）税收风险：南银理财暂不负责代扣代缴投资者购买本理财产品所得收益应缴纳的各项税款。</w:t>
      </w:r>
      <w:proofErr w:type="gramStart"/>
      <w:r w:rsidRPr="0093038C">
        <w:rPr>
          <w:rFonts w:ascii="方正黑体_GBK" w:eastAsia="方正黑体_GBK" w:hint="eastAsia"/>
          <w:color w:val="3D3D3D"/>
          <w:kern w:val="0"/>
          <w:sz w:val="13"/>
        </w:rPr>
        <w:t>若相关</w:t>
      </w:r>
      <w:proofErr w:type="gramEnd"/>
      <w:r w:rsidRPr="0093038C">
        <w:rPr>
          <w:rFonts w:ascii="方正黑体_GBK" w:eastAsia="方正黑体_GBK" w:hint="eastAsia"/>
          <w:color w:val="3D3D3D"/>
          <w:kern w:val="0"/>
          <w:sz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sidRPr="0093038C">
        <w:rPr>
          <w:rFonts w:ascii="方正黑体_GBK" w:eastAsia="方正黑体_GBK" w:hint="eastAsia"/>
          <w:color w:val="3D3D3D"/>
          <w:kern w:val="0"/>
          <w:sz w:val="13"/>
        </w:rPr>
        <w:t>费产生</w:t>
      </w:r>
      <w:proofErr w:type="gramEnd"/>
      <w:r w:rsidRPr="0093038C">
        <w:rPr>
          <w:rFonts w:ascii="方正黑体_GBK" w:eastAsia="方正黑体_GBK" w:hint="eastAsia"/>
          <w:color w:val="3D3D3D"/>
          <w:kern w:val="0"/>
          <w:sz w:val="13"/>
        </w:rPr>
        <w:t>影响，可能影响投资者收益，甚至造成本理财产品单位净值下跌、本金损失的情况。</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（十四）管理风险：在产品运作过程中，受产品管理人经验、技能、判断力、执行力等方面的限制，可能对产品的运作及管理造成一定影响，并因此影响投资者收益，甚至造成本理财产品净值下跌、本金损失。</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（十五）操作风险：若管理人、销售机构、托管机构由于内部作业、人员管理及系统操作不当或失误，处理事务不当等，可能导致本理财产品的本金及收益遭受损失。</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六）代销风险：本理财产品通过代销机构销售时，认购/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申购资金划转至南银理财，将导致投资者无法完成认购/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D74678" w:rsidRPr="0093038C" w:rsidRDefault="005D5CC8">
      <w:pPr>
        <w:widowControl/>
        <w:spacing w:line="200" w:lineRule="exact"/>
        <w:ind w:firstLine="260"/>
        <w:rPr>
          <w:rFonts w:ascii="方正黑体_GBK" w:eastAsia="方正黑体_GBK"/>
          <w:color w:val="3D3D3D"/>
          <w:kern w:val="0"/>
          <w:sz w:val="13"/>
        </w:rPr>
      </w:pPr>
      <w:r w:rsidRPr="0093038C">
        <w:rPr>
          <w:rFonts w:ascii="方正黑体_GBK" w:eastAsia="方正黑体_GBK" w:hint="eastAsia"/>
          <w:color w:val="3D3D3D"/>
          <w:kern w:val="0"/>
          <w:sz w:val="13"/>
        </w:rPr>
        <w:t>（十七）未知价风险：净值型产品采用“金额申购、份额赎回”原则，即产品认/申购以金额申请，赎回以份额申请，认/申购与赎回价格以“未知价原则”受理申请。“未知价原则”，即理财产品申购申请和赎回申请提交时，适用的产品单位净值都是未知的，单位净值固定的产品除外。</w:t>
      </w:r>
    </w:p>
    <w:p w:rsidR="00D74678" w:rsidRPr="0093038C" w:rsidRDefault="005D5CC8">
      <w:pPr>
        <w:widowControl/>
        <w:spacing w:line="200" w:lineRule="exact"/>
        <w:ind w:firstLine="260"/>
        <w:rPr>
          <w:rFonts w:ascii="方正黑体_GBK" w:eastAsia="方正黑体_GBK"/>
          <w:sz w:val="21"/>
        </w:rPr>
      </w:pPr>
      <w:r w:rsidRPr="0093038C">
        <w:rPr>
          <w:rFonts w:ascii="方正黑体_GBK" w:eastAsia="方正黑体_GBK" w:hint="eastAsia"/>
          <w:color w:val="3D3D3D"/>
          <w:kern w:val="0"/>
          <w:sz w:val="13"/>
        </w:rPr>
        <w:t>（十八）关联交易风险：在合法合</w:t>
      </w:r>
      <w:proofErr w:type="gramStart"/>
      <w:r w:rsidRPr="0093038C">
        <w:rPr>
          <w:rFonts w:ascii="方正黑体_GBK" w:eastAsia="方正黑体_GBK" w:hint="eastAsia"/>
          <w:color w:val="3D3D3D"/>
          <w:kern w:val="0"/>
          <w:sz w:val="13"/>
        </w:rPr>
        <w:t>规</w:t>
      </w:r>
      <w:proofErr w:type="gramEnd"/>
      <w:r w:rsidRPr="0093038C">
        <w:rPr>
          <w:rFonts w:ascii="方正黑体_GBK" w:eastAsia="方正黑体_GBK" w:hint="eastAsia"/>
          <w:color w:val="3D3D3D"/>
          <w:kern w:val="0"/>
          <w:sz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74678" w:rsidRPr="0093038C" w:rsidRDefault="005D5CC8">
      <w:pPr>
        <w:pStyle w:val="Normalbdb64567"/>
        <w:widowControl/>
        <w:spacing w:line="200" w:lineRule="exact"/>
        <w:ind w:firstLine="260"/>
        <w:rPr>
          <w:rFonts w:ascii="方正黑体_GBK" w:eastAsia="方正黑体_GBK" w:hAnsi="Times New Roman"/>
          <w:color w:val="3D3D3D"/>
          <w:kern w:val="0"/>
          <w:sz w:val="13"/>
        </w:rPr>
      </w:pPr>
      <w:r w:rsidRPr="0093038C">
        <w:rPr>
          <w:rFonts w:ascii="方正黑体_GBK" w:eastAsia="方正黑体_GBK" w:hint="eastAsia"/>
          <w:color w:val="3D3D3D"/>
          <w:sz w:val="13"/>
        </w:rPr>
        <w:t xml:space="preserve"> </w:t>
      </w:r>
      <w:r w:rsidRPr="0093038C">
        <w:rPr>
          <w:rFonts w:ascii="方正黑体_GBK" w:eastAsia="方正黑体_GBK" w:hint="eastAsia"/>
          <w:color w:val="3D3D3D"/>
          <w:kern w:val="0"/>
          <w:sz w:val="13"/>
        </w:rPr>
        <w:t>第二条</w:t>
      </w:r>
      <w:r w:rsidRPr="0093038C">
        <w:rPr>
          <w:rFonts w:ascii="方正黑体_GBK" w:eastAsia="方正黑体_GBK" w:hAnsi="Times New Roman" w:hint="eastAsia"/>
          <w:color w:val="3D3D3D"/>
          <w:kern w:val="0"/>
          <w:sz w:val="13"/>
        </w:rPr>
        <w:t xml:space="preserve"> </w:t>
      </w:r>
      <w:r w:rsidRPr="0093038C">
        <w:rPr>
          <w:rFonts w:ascii="方正黑体_GBK" w:eastAsia="方正黑体_GBK" w:hint="eastAsia"/>
          <w:color w:val="3D3D3D"/>
          <w:kern w:val="0"/>
          <w:sz w:val="13"/>
        </w:rPr>
        <w:t>本理财产品特定风险揭示</w:t>
      </w:r>
    </w:p>
    <w:p w:rsidR="00D74678" w:rsidRPr="0093038C" w:rsidRDefault="005D5CC8">
      <w:pPr>
        <w:spacing w:line="200" w:lineRule="exact"/>
        <w:rPr>
          <w:rFonts w:ascii="方正黑体_GBK" w:eastAsia="方正黑体_GBK"/>
          <w:sz w:val="21"/>
        </w:rPr>
      </w:pPr>
      <w:r w:rsidRPr="0093038C">
        <w:rPr>
          <w:rFonts w:ascii="方正黑体_GBK" w:eastAsia="方正黑体_GBK" w:hAnsi="宋体" w:hint="eastAsia"/>
          <w:b/>
          <w:sz w:val="13"/>
        </w:rPr>
        <w:t xml:space="preserve">    1.债券类资产投资风险</w:t>
      </w:r>
    </w:p>
    <w:p w:rsidR="00D74678" w:rsidRPr="0093038C" w:rsidRDefault="005D5CC8">
      <w:pPr>
        <w:spacing w:line="200" w:lineRule="exact"/>
        <w:rPr>
          <w:rFonts w:ascii="方正黑体_GBK" w:eastAsia="方正黑体_GBK"/>
          <w:sz w:val="21"/>
        </w:rPr>
      </w:pPr>
      <w:r w:rsidRPr="0093038C">
        <w:rPr>
          <w:rFonts w:ascii="方正黑体_GBK" w:eastAsia="方正黑体_GBK" w:hAnsi="宋体" w:hint="eastAsia"/>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74678" w:rsidRPr="0093038C" w:rsidRDefault="005D5CC8">
      <w:pPr>
        <w:spacing w:line="200" w:lineRule="exact"/>
        <w:rPr>
          <w:rFonts w:ascii="方正黑体_GBK" w:eastAsia="方正黑体_GBK"/>
          <w:sz w:val="21"/>
        </w:rPr>
      </w:pPr>
      <w:r w:rsidRPr="0093038C">
        <w:rPr>
          <w:rFonts w:ascii="方正黑体_GBK" w:eastAsia="方正黑体_GBK" w:hAnsi="宋体" w:hint="eastAsia"/>
          <w:b/>
          <w:sz w:val="13"/>
        </w:rPr>
        <w:t xml:space="preserve">    2.资产管理产品投资风险</w:t>
      </w:r>
    </w:p>
    <w:p w:rsidR="00D74678" w:rsidRPr="0093038C" w:rsidRDefault="005D5CC8">
      <w:pPr>
        <w:spacing w:line="200" w:lineRule="exact"/>
        <w:rPr>
          <w:rFonts w:ascii="方正黑体_GBK" w:eastAsia="方正黑体_GBK"/>
          <w:sz w:val="21"/>
        </w:rPr>
      </w:pPr>
      <w:r w:rsidRPr="0093038C">
        <w:rPr>
          <w:rFonts w:ascii="方正黑体_GBK" w:eastAsia="方正黑体_GBK" w:hAnsi="宋体" w:hint="eastAsia"/>
          <w:b/>
          <w:sz w:val="13"/>
        </w:rPr>
        <w:t xml:space="preserve">    本理财产品通过资产管理产品间接投资时，可能因资产管理产品的相关受托人/资产管理人违反法律法规和/或合同约定、未尽受托人/资产管理人职责或发生其他情形，造成本理财</w:t>
      </w:r>
      <w:r w:rsidRPr="0093038C">
        <w:rPr>
          <w:rFonts w:ascii="方正黑体_GBK" w:eastAsia="方正黑体_GBK" w:hAnsi="宋体" w:hint="eastAsia"/>
          <w:b/>
          <w:sz w:val="13"/>
        </w:rPr>
        <w:lastRenderedPageBreak/>
        <w:t>产品所投资的资产管理产品的财产损失，进而导致本理财产品收益下降甚至本金损失。</w:t>
      </w:r>
      <w:proofErr w:type="gramStart"/>
      <w:r w:rsidRPr="0093038C">
        <w:rPr>
          <w:rFonts w:ascii="方正黑体_GBK" w:eastAsia="方正黑体_GBK" w:hAnsi="宋体" w:hint="eastAsia"/>
          <w:b/>
          <w:sz w:val="13"/>
        </w:rPr>
        <w:t>资管管理</w:t>
      </w:r>
      <w:proofErr w:type="gramEnd"/>
      <w:r w:rsidRPr="0093038C">
        <w:rPr>
          <w:rFonts w:ascii="方正黑体_GBK" w:eastAsia="方正黑体_GBK" w:hAnsi="宋体" w:hint="eastAsia"/>
          <w:b/>
          <w:sz w:val="13"/>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sidRPr="0093038C">
        <w:rPr>
          <w:rFonts w:ascii="方正黑体_GBK" w:eastAsia="方正黑体_GBK" w:hAnsi="宋体" w:hint="eastAsia"/>
          <w:b/>
          <w:sz w:val="13"/>
        </w:rPr>
        <w:t>申赎等</w:t>
      </w:r>
      <w:proofErr w:type="gramEnd"/>
      <w:r w:rsidRPr="0093038C">
        <w:rPr>
          <w:rFonts w:ascii="方正黑体_GBK" w:eastAsia="方正黑体_GBK" w:hAnsi="宋体" w:hint="eastAsia"/>
          <w:b/>
          <w:sz w:val="13"/>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74678" w:rsidRPr="0093038C" w:rsidRDefault="005D5CC8">
      <w:pPr>
        <w:pStyle w:val="Normalbdb64567"/>
        <w:widowControl/>
        <w:spacing w:line="200" w:lineRule="exact"/>
        <w:ind w:firstLine="260"/>
        <w:rPr>
          <w:rFonts w:ascii="方正黑体_GBK" w:eastAsia="方正黑体_GBK" w:hAnsi="Times New Roman"/>
          <w:b/>
          <w:color w:val="3D3D3D"/>
          <w:kern w:val="0"/>
          <w:sz w:val="13"/>
        </w:rPr>
      </w:pPr>
      <w:r w:rsidRPr="0093038C">
        <w:rPr>
          <w:rFonts w:ascii="方正黑体_GBK" w:eastAsia="方正黑体_GBK" w:hint="eastAsia"/>
          <w:b/>
          <w:color w:val="3D3D3D"/>
          <w:kern w:val="0"/>
          <w:sz w:val="13"/>
        </w:rPr>
        <w:t>本理财产品类型：开放式、固定收益类、公募、净值型。</w:t>
      </w:r>
    </w:p>
    <w:p w:rsidR="00D74678" w:rsidRPr="0093038C" w:rsidRDefault="005D5CC8">
      <w:pPr>
        <w:pStyle w:val="Normalbdb64567"/>
        <w:widowControl/>
        <w:spacing w:line="200" w:lineRule="exact"/>
        <w:ind w:firstLine="270"/>
        <w:rPr>
          <w:rFonts w:ascii="方正黑体_GBK" w:eastAsia="方正黑体_GBK" w:hAnsi="Times New Roman"/>
          <w:b/>
          <w:color w:val="3D3D3D"/>
          <w:kern w:val="0"/>
          <w:sz w:val="13"/>
        </w:rPr>
      </w:pPr>
      <w:r w:rsidRPr="0093038C">
        <w:rPr>
          <w:rFonts w:ascii="方正黑体_GBK" w:eastAsia="方正黑体_GBK" w:hint="eastAsia"/>
          <w:b/>
          <w:color w:val="3D3D3D"/>
          <w:kern w:val="0"/>
          <w:sz w:val="13"/>
        </w:rPr>
        <w:t>本理财产品期限为10年（若本理财产品被提前终止或延期终止，以实际到期日计算持有天数）。</w:t>
      </w:r>
    </w:p>
    <w:p w:rsidR="00D74678" w:rsidRPr="0093038C" w:rsidRDefault="005D5CC8">
      <w:pPr>
        <w:pStyle w:val="annotationtext23"/>
        <w:spacing w:line="200" w:lineRule="exact"/>
        <w:rPr>
          <w:rFonts w:ascii="方正黑体_GBK" w:eastAsia="方正黑体_GBK" w:hAnsi="Times New Roman"/>
          <w:color w:val="3D3D3D"/>
          <w:kern w:val="0"/>
          <w:sz w:val="13"/>
        </w:rPr>
      </w:pPr>
      <w:r w:rsidRPr="0093038C">
        <w:rPr>
          <w:rFonts w:ascii="方正黑体_GBK" w:eastAsia="方正黑体_GBK" w:hint="eastAsia"/>
          <w:b/>
          <w:color w:val="3D3D3D"/>
          <w:kern w:val="0"/>
          <w:sz w:val="13"/>
        </w:rPr>
        <w:t>本理财产品风险评级结果：</w:t>
      </w:r>
      <w:r w:rsidRPr="0093038C">
        <w:rPr>
          <w:rFonts w:ascii="方正黑体_GBK" w:eastAsia="方正黑体_GBK" w:hint="eastAsia"/>
          <w:color w:val="3D3D3D"/>
          <w:kern w:val="0"/>
          <w:sz w:val="13"/>
        </w:rPr>
        <w:t>根据管理人内部风险评级，该产品风险等级为</w:t>
      </w:r>
      <w:r w:rsidRPr="0093038C">
        <w:rPr>
          <w:rFonts w:ascii="方正黑体_GBK" w:eastAsia="方正黑体_GBK" w:hint="eastAsia"/>
          <w:b/>
          <w:color w:val="3D3D3D"/>
          <w:kern w:val="0"/>
          <w:sz w:val="13"/>
        </w:rPr>
        <w:t>中低风险</w:t>
      </w:r>
      <w:r w:rsidRPr="0093038C">
        <w:rPr>
          <w:rFonts w:ascii="方正黑体_GBK" w:eastAsia="方正黑体_GBK" w:hint="eastAsia"/>
          <w:color w:val="3D3D3D"/>
          <w:kern w:val="0"/>
          <w:sz w:val="13"/>
        </w:rPr>
        <w:t>。</w:t>
      </w:r>
      <w:r w:rsidRPr="0093038C">
        <w:rPr>
          <w:rFonts w:ascii="方正黑体_GBK" w:eastAsia="方正黑体_GBK" w:hAnsi="Times New Roman" w:hint="eastAsia"/>
          <w:b/>
          <w:color w:val="3D3D3D"/>
          <w:kern w:val="0"/>
          <w:sz w:val="13"/>
        </w:rPr>
        <w:t xml:space="preserve"> </w:t>
      </w:r>
      <w:r w:rsidRPr="0093038C">
        <w:rPr>
          <w:rFonts w:ascii="方正黑体_GBK" w:eastAsia="方正黑体_GBK" w:hint="eastAsia"/>
          <w:color w:val="3D3D3D"/>
          <w:kern w:val="0"/>
          <w:sz w:val="13"/>
        </w:rPr>
        <w:t>管理人不承诺本金保障，产品收益随投资表现变动，产品存在较低的本金损失风险。</w:t>
      </w:r>
    </w:p>
    <w:p w:rsidR="00D74678" w:rsidRPr="0093038C" w:rsidRDefault="005D5CC8">
      <w:pPr>
        <w:pStyle w:val="annotationtext23"/>
        <w:spacing w:line="200" w:lineRule="exact"/>
        <w:ind w:firstLineChars="200" w:firstLine="260"/>
        <w:rPr>
          <w:rFonts w:ascii="方正黑体_GBK" w:eastAsia="方正黑体_GBK" w:hAnsi="Times New Roman"/>
          <w:color w:val="3D3D3D"/>
          <w:kern w:val="0"/>
          <w:sz w:val="13"/>
        </w:rPr>
      </w:pPr>
      <w:proofErr w:type="gramStart"/>
      <w:r w:rsidRPr="0093038C">
        <w:rPr>
          <w:rFonts w:ascii="方正黑体_GBK" w:eastAsia="方正黑体_GBK" w:hint="eastAsia"/>
          <w:b/>
          <w:color w:val="3D3D3D"/>
          <w:kern w:val="0"/>
          <w:sz w:val="13"/>
        </w:rPr>
        <w:t>本风险</w:t>
      </w:r>
      <w:proofErr w:type="gramEnd"/>
      <w:r w:rsidRPr="0093038C">
        <w:rPr>
          <w:rFonts w:ascii="方正黑体_GBK" w:eastAsia="方正黑体_GBK" w:hint="eastAsia"/>
          <w:b/>
          <w:color w:val="3D3D3D"/>
          <w:kern w:val="0"/>
          <w:sz w:val="13"/>
        </w:rPr>
        <w:t>等级为南银理财风险评级结果，该产品通过代理销售机构渠道销售的，理财产品评级应当以代理销售机构最终披露的评级结果为准。</w:t>
      </w:r>
      <w:r w:rsidRPr="0093038C">
        <w:rPr>
          <w:rFonts w:ascii="方正黑体_GBK" w:eastAsia="方正黑体_GBK" w:hint="eastAsia"/>
          <w:color w:val="3D3D3D"/>
          <w:kern w:val="0"/>
          <w:sz w:val="13"/>
        </w:rPr>
        <w:t>您需充分认识投资风险，谨慎投资。</w:t>
      </w:r>
    </w:p>
    <w:p w:rsidR="00D74678" w:rsidRPr="0093038C" w:rsidRDefault="005D5CC8">
      <w:pPr>
        <w:pStyle w:val="Normalbdb64567"/>
        <w:widowControl/>
        <w:spacing w:line="200" w:lineRule="exact"/>
        <w:ind w:firstLineChars="200" w:firstLine="260"/>
        <w:rPr>
          <w:rFonts w:ascii="方正黑体_GBK" w:eastAsia="方正黑体_GBK" w:hAnsi="Times New Roman"/>
          <w:b/>
          <w:color w:val="3D3D3D"/>
          <w:kern w:val="0"/>
          <w:sz w:val="13"/>
        </w:rPr>
      </w:pPr>
      <w:r w:rsidRPr="0093038C">
        <w:rPr>
          <w:rFonts w:ascii="方正黑体_GBK" w:eastAsia="方正黑体_GBK" w:hint="eastAsia"/>
          <w:b/>
          <w:color w:val="3D3D3D"/>
          <w:kern w:val="0"/>
          <w:sz w:val="13"/>
        </w:rPr>
        <w:t>适合购买本理财产品的投资者：</w:t>
      </w:r>
      <w:r w:rsidRPr="0093038C">
        <w:rPr>
          <w:rFonts w:ascii="方正黑体_GBK" w:eastAsia="方正黑体_GBK" w:hint="eastAsia"/>
          <w:color w:val="3D3D3D"/>
          <w:kern w:val="0"/>
          <w:sz w:val="13"/>
        </w:rPr>
        <w:t>符合相关法律法规、监管规定要求的，经销售机构的风险承受能力评估体系评定为适合的个人和机构投资者</w:t>
      </w:r>
      <w:r w:rsidRPr="0093038C">
        <w:rPr>
          <w:rFonts w:ascii="方正黑体_GBK" w:eastAsia="方正黑体_GBK" w:hint="eastAsia"/>
          <w:b/>
          <w:color w:val="3D3D3D"/>
          <w:kern w:val="0"/>
          <w:sz w:val="13"/>
        </w:rPr>
        <w:t>。</w:t>
      </w:r>
    </w:p>
    <w:p w:rsidR="00D74678" w:rsidRPr="0093038C" w:rsidRDefault="005D5CC8">
      <w:pPr>
        <w:pStyle w:val="Normalbdb64567"/>
        <w:widowControl/>
        <w:spacing w:line="200" w:lineRule="exact"/>
        <w:ind w:firstLine="260"/>
        <w:rPr>
          <w:rFonts w:ascii="方正黑体_GBK" w:eastAsia="方正黑体_GBK" w:hAnsi="Times New Roman"/>
          <w:b/>
          <w:color w:val="3D3D3D"/>
          <w:kern w:val="0"/>
          <w:sz w:val="13"/>
        </w:rPr>
      </w:pPr>
      <w:r w:rsidRPr="0093038C">
        <w:rPr>
          <w:rFonts w:ascii="方正黑体_GBK" w:eastAsia="方正黑体_GBK" w:hint="eastAsia"/>
          <w:b/>
          <w:color w:val="3D3D3D"/>
          <w:kern w:val="0"/>
          <w:sz w:val="13"/>
        </w:rPr>
        <w:t>个人投资者在首次通过销售机构购买理财产品时应根据销售机构的要求进行风险承受能力评估。如影响</w:t>
      </w:r>
      <w:proofErr w:type="gramStart"/>
      <w:r w:rsidRPr="0093038C">
        <w:rPr>
          <w:rFonts w:ascii="方正黑体_GBK" w:eastAsia="方正黑体_GBK" w:hint="eastAsia"/>
          <w:b/>
          <w:color w:val="3D3D3D"/>
          <w:kern w:val="0"/>
          <w:sz w:val="13"/>
        </w:rPr>
        <w:t>您风险</w:t>
      </w:r>
      <w:proofErr w:type="gramEnd"/>
      <w:r w:rsidRPr="0093038C">
        <w:rPr>
          <w:rFonts w:ascii="方正黑体_GBK" w:eastAsia="方正黑体_GBK" w:hint="eastAsia"/>
          <w:b/>
          <w:color w:val="3D3D3D"/>
          <w:kern w:val="0"/>
          <w:sz w:val="13"/>
        </w:rPr>
        <w:t>承受能力的因素发生变化，请及时完成风险承受能力评估。</w:t>
      </w:r>
    </w:p>
    <w:p w:rsidR="00D74678" w:rsidRPr="0093038C" w:rsidRDefault="005D5CC8">
      <w:pPr>
        <w:pStyle w:val="Normalbdb64567"/>
        <w:widowControl/>
        <w:spacing w:line="200" w:lineRule="exact"/>
        <w:ind w:firstLine="260"/>
        <w:rPr>
          <w:rFonts w:ascii="方正黑体_GBK" w:eastAsia="方正黑体_GBK"/>
        </w:rPr>
      </w:pPr>
      <w:r w:rsidRPr="0093038C">
        <w:rPr>
          <w:rFonts w:ascii="方正黑体_GBK" w:eastAsia="方正黑体_GBK" w:hint="eastAsia"/>
          <w:b/>
          <w:color w:val="3D3D3D"/>
          <w:kern w:val="0"/>
          <w:sz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sidRPr="0093038C">
        <w:rPr>
          <w:rFonts w:ascii="方正黑体_GBK" w:eastAsia="方正黑体_GBK" w:hAnsi="Times New Roman" w:hint="eastAsia"/>
          <w:b/>
          <w:color w:val="3D3D3D"/>
          <w:kern w:val="0"/>
          <w:sz w:val="13"/>
        </w:rPr>
        <w:t>0</w:t>
      </w:r>
      <w:r w:rsidRPr="0093038C">
        <w:rPr>
          <w:rFonts w:ascii="方正黑体_GBK" w:eastAsia="方正黑体_GBK" w:hint="eastAsia"/>
          <w:b/>
          <w:color w:val="3D3D3D"/>
          <w:kern w:val="0"/>
          <w:sz w:val="13"/>
        </w:rPr>
        <w:t>，即投资者面临全部本金的损失。为保证当期理财投资者权益而产生的费用由当期理财产品承担。</w:t>
      </w:r>
    </w:p>
    <w:p w:rsidR="00D74678" w:rsidRPr="0093038C" w:rsidRDefault="005D5CC8">
      <w:pPr>
        <w:pStyle w:val="Normalbdb64567"/>
        <w:widowControl/>
        <w:spacing w:line="200" w:lineRule="exact"/>
        <w:ind w:firstLine="260"/>
        <w:rPr>
          <w:rFonts w:ascii="方正黑体_GBK" w:eastAsia="方正黑体_GBK" w:hAnsi="Times New Roman"/>
          <w:b/>
          <w:color w:val="3D3D3D"/>
          <w:kern w:val="0"/>
          <w:sz w:val="13"/>
        </w:rPr>
      </w:pPr>
      <w:r w:rsidRPr="0093038C">
        <w:rPr>
          <w:rFonts w:ascii="方正黑体_GBK" w:eastAsia="方正黑体_GBK" w:hint="eastAsia"/>
          <w:b/>
          <w:color w:val="3D3D3D"/>
          <w:kern w:val="0"/>
          <w:sz w:val="13"/>
        </w:rPr>
        <w:t>示例：如投资者购买本理财产品，本金为</w:t>
      </w:r>
      <w:r w:rsidRPr="0093038C">
        <w:rPr>
          <w:rFonts w:ascii="方正黑体_GBK" w:eastAsia="方正黑体_GBK" w:hAnsi="Times New Roman" w:hint="eastAsia"/>
          <w:b/>
          <w:color w:val="3D3D3D"/>
          <w:kern w:val="0"/>
          <w:sz w:val="13"/>
        </w:rPr>
        <w:t>1</w:t>
      </w:r>
      <w:r w:rsidRPr="0093038C">
        <w:rPr>
          <w:rFonts w:ascii="方正黑体_GBK" w:eastAsia="方正黑体_GBK" w:hint="eastAsia"/>
          <w:b/>
          <w:color w:val="3D3D3D"/>
          <w:kern w:val="0"/>
          <w:sz w:val="13"/>
        </w:rPr>
        <w:t>万元，在理财产品资产组合项下资产全部亏损的最不利情况下，理财产品</w:t>
      </w:r>
      <w:r w:rsidRPr="0093038C">
        <w:rPr>
          <w:rFonts w:ascii="方正黑体_GBK" w:eastAsia="方正黑体_GBK" w:hAnsi="Times New Roman" w:hint="eastAsia"/>
          <w:b/>
          <w:color w:val="3D3D3D"/>
          <w:kern w:val="0"/>
          <w:sz w:val="13"/>
        </w:rPr>
        <w:t>1</w:t>
      </w:r>
      <w:r w:rsidRPr="0093038C">
        <w:rPr>
          <w:rFonts w:ascii="方正黑体_GBK" w:eastAsia="方正黑体_GBK" w:hint="eastAsia"/>
          <w:b/>
          <w:color w:val="3D3D3D"/>
          <w:kern w:val="0"/>
          <w:sz w:val="13"/>
        </w:rPr>
        <w:t>万元本金将全部损失。</w:t>
      </w:r>
    </w:p>
    <w:p w:rsidR="00D74678" w:rsidRPr="0093038C" w:rsidRDefault="00D74678">
      <w:pPr>
        <w:pStyle w:val="Normalbdb64567"/>
        <w:widowControl/>
        <w:spacing w:line="200" w:lineRule="exact"/>
        <w:ind w:firstLine="260"/>
        <w:rPr>
          <w:rFonts w:ascii="方正黑体_GBK" w:eastAsia="方正黑体_GBK" w:hAnsi="Times New Roman"/>
          <w:b/>
          <w:color w:val="3D3D3D"/>
          <w:kern w:val="0"/>
          <w:sz w:val="13"/>
        </w:rPr>
      </w:pPr>
    </w:p>
    <w:p w:rsidR="00D74678" w:rsidRPr="0093038C" w:rsidRDefault="005D5CC8">
      <w:pPr>
        <w:pStyle w:val="Normalbdb64567"/>
        <w:widowControl/>
        <w:spacing w:line="200" w:lineRule="exact"/>
        <w:ind w:firstLine="260"/>
        <w:jc w:val="center"/>
        <w:rPr>
          <w:rFonts w:ascii="方正黑体_GBK" w:eastAsia="方正黑体_GBK" w:hAnsi="Times New Roman"/>
          <w:b/>
          <w:color w:val="3D3D3D"/>
          <w:kern w:val="0"/>
          <w:sz w:val="15"/>
          <w:u w:val="single"/>
        </w:rPr>
      </w:pPr>
      <w:r w:rsidRPr="0093038C">
        <w:rPr>
          <w:rFonts w:ascii="方正黑体_GBK" w:eastAsia="方正黑体_GBK" w:hint="eastAsia"/>
          <w:b/>
          <w:color w:val="3D3D3D"/>
          <w:kern w:val="0"/>
          <w:sz w:val="15"/>
          <w:u w:val="single"/>
        </w:rPr>
        <w:t>上述风险客观存在，敬请投资者予以充分关注！</w:t>
      </w:r>
    </w:p>
    <w:p w:rsidR="00D74678" w:rsidRPr="0093038C" w:rsidRDefault="00D74678">
      <w:pPr>
        <w:pStyle w:val="Normalbdb64567"/>
        <w:widowControl/>
        <w:spacing w:line="200" w:lineRule="exact"/>
        <w:ind w:firstLine="260"/>
        <w:jc w:val="center"/>
        <w:rPr>
          <w:rFonts w:ascii="方正黑体_GBK" w:eastAsia="方正黑体_GBK" w:hAnsi="Times New Roman"/>
          <w:b/>
          <w:color w:val="3D3D3D"/>
          <w:kern w:val="0"/>
          <w:sz w:val="15"/>
          <w:u w:val="single"/>
        </w:rPr>
      </w:pPr>
    </w:p>
    <w:p w:rsidR="00D74678" w:rsidRPr="0093038C" w:rsidRDefault="005D5CC8">
      <w:pPr>
        <w:pStyle w:val="Normalbdb64567"/>
        <w:widowControl/>
        <w:spacing w:line="200" w:lineRule="exact"/>
        <w:ind w:firstLine="260"/>
        <w:jc w:val="left"/>
        <w:rPr>
          <w:rFonts w:ascii="方正黑体_GBK" w:eastAsia="方正黑体_GBK" w:hAnsi="Times New Roman"/>
          <w:b/>
          <w:color w:val="3D3D3D"/>
          <w:kern w:val="0"/>
          <w:sz w:val="15"/>
          <w:u w:val="single"/>
        </w:rPr>
      </w:pPr>
      <w:proofErr w:type="gramStart"/>
      <w:r w:rsidRPr="0093038C">
        <w:rPr>
          <w:rFonts w:ascii="方正黑体_GBK" w:eastAsia="方正黑体_GBK" w:hint="eastAsia"/>
          <w:b/>
          <w:color w:val="3D3D3D"/>
          <w:kern w:val="0"/>
          <w:sz w:val="15"/>
          <w:u w:val="single"/>
        </w:rPr>
        <w:t>本风险</w:t>
      </w:r>
      <w:proofErr w:type="gramEnd"/>
      <w:r w:rsidRPr="0093038C">
        <w:rPr>
          <w:rFonts w:ascii="方正黑体_GBK" w:eastAsia="方正黑体_GBK" w:hint="eastAsia"/>
          <w:b/>
          <w:color w:val="3D3D3D"/>
          <w:kern w:val="0"/>
          <w:sz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sidRPr="0093038C">
        <w:rPr>
          <w:rFonts w:ascii="方正黑体_GBK" w:eastAsia="方正黑体_GBK" w:hint="eastAsia"/>
          <w:b/>
          <w:color w:val="3D3D3D"/>
          <w:kern w:val="0"/>
          <w:sz w:val="15"/>
          <w:u w:val="single"/>
        </w:rPr>
        <w:t>本风险</w:t>
      </w:r>
      <w:proofErr w:type="gramEnd"/>
      <w:r w:rsidRPr="0093038C">
        <w:rPr>
          <w:rFonts w:ascii="方正黑体_GBK" w:eastAsia="方正黑体_GBK" w:hint="eastAsia"/>
          <w:b/>
          <w:color w:val="3D3D3D"/>
          <w:kern w:val="0"/>
          <w:sz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74678" w:rsidRPr="0093038C" w:rsidRDefault="005D5CC8">
      <w:pPr>
        <w:widowControl/>
        <w:spacing w:line="200" w:lineRule="exact"/>
        <w:rPr>
          <w:rFonts w:ascii="方正黑体_GBK" w:eastAsia="方正黑体_GBK"/>
          <w:b/>
          <w:color w:val="3D3D3D"/>
          <w:kern w:val="0"/>
          <w:sz w:val="15"/>
          <w:u w:val="single"/>
        </w:rPr>
      </w:pPr>
      <w:r w:rsidRPr="0093038C">
        <w:rPr>
          <w:rFonts w:ascii="方正黑体_GBK" w:eastAsia="方正黑体_GBK" w:hint="eastAsia"/>
          <w:b/>
          <w:color w:val="3D3D3D"/>
          <w:kern w:val="0"/>
          <w:sz w:val="15"/>
          <w:u w:val="single"/>
        </w:rPr>
        <w:t>投资者声明：</w:t>
      </w:r>
    </w:p>
    <w:p w:rsidR="00D74678" w:rsidRPr="0093038C" w:rsidRDefault="005D5CC8">
      <w:pPr>
        <w:widowControl/>
        <w:spacing w:line="200" w:lineRule="exact"/>
        <w:ind w:firstLine="420"/>
        <w:rPr>
          <w:rFonts w:ascii="方正黑体_GBK" w:eastAsia="方正黑体_GBK"/>
          <w:b/>
          <w:color w:val="3D3D3D"/>
          <w:kern w:val="0"/>
          <w:sz w:val="15"/>
          <w:u w:val="single"/>
        </w:rPr>
      </w:pPr>
      <w:r w:rsidRPr="0093038C">
        <w:rPr>
          <w:rFonts w:ascii="方正黑体_GBK" w:eastAsia="方正黑体_GBK" w:hint="eastAsia"/>
          <w:b/>
          <w:color w:val="3D3D3D"/>
          <w:kern w:val="0"/>
          <w:sz w:val="15"/>
        </w:rPr>
        <w:t>1.</w:t>
      </w:r>
      <w:r w:rsidRPr="0093038C">
        <w:rPr>
          <w:rFonts w:ascii="方正黑体_GBK" w:eastAsia="方正黑体_GBK" w:hint="eastAsia"/>
          <w:b/>
          <w:color w:val="3D3D3D"/>
          <w:kern w:val="0"/>
          <w:sz w:val="15"/>
          <w:u w:val="single"/>
        </w:rPr>
        <w:t>本投资者确认，本投资者购买本理财产品为本投资者真实的意思表示,并认为该理财产品完全适合本投资者的投资目标、投资预期以及风险承受能力，本投资者自愿承担由此带来的一切后果。本投资者确认南银理财/销售机构相关业务人员对于理财产品销售文件中限制或排除本投资者权利、增加或加重本投资者义务或责任以及有关免除或减轻南银理财责任或南银理财单方面拥有某些权利的条款已向本人予以说明，本投资者已完全理解并自愿接受。</w:t>
      </w:r>
    </w:p>
    <w:p w:rsidR="00D74678" w:rsidRPr="0093038C" w:rsidRDefault="005D5CC8">
      <w:pPr>
        <w:widowControl/>
        <w:spacing w:line="200" w:lineRule="exact"/>
        <w:ind w:firstLine="420"/>
        <w:rPr>
          <w:rFonts w:ascii="方正黑体_GBK" w:eastAsia="方正黑体_GBK"/>
          <w:b/>
          <w:color w:val="3D3D3D"/>
          <w:kern w:val="0"/>
          <w:sz w:val="15"/>
          <w:u w:val="single"/>
        </w:rPr>
      </w:pPr>
      <w:r w:rsidRPr="0093038C">
        <w:rPr>
          <w:rFonts w:ascii="方正黑体_GBK" w:eastAsia="方正黑体_GBK" w:hint="eastAsia"/>
          <w:b/>
          <w:color w:val="3D3D3D"/>
          <w:kern w:val="0"/>
          <w:sz w:val="15"/>
        </w:rPr>
        <w:t>2.</w:t>
      </w:r>
      <w:r w:rsidRPr="0093038C">
        <w:rPr>
          <w:rFonts w:ascii="方正黑体_GBK" w:eastAsia="方正黑体_GBK" w:hint="eastAsia"/>
          <w:b/>
          <w:color w:val="3D3D3D"/>
          <w:kern w:val="0"/>
          <w:sz w:val="15"/>
          <w:u w:val="single"/>
        </w:rPr>
        <w:t>本投资者确认，将向本理财产品销售机构真实提供信息，自主</w:t>
      </w:r>
      <w:proofErr w:type="gramStart"/>
      <w:r w:rsidRPr="0093038C">
        <w:rPr>
          <w:rFonts w:ascii="方正黑体_GBK" w:eastAsia="方正黑体_GBK" w:hint="eastAsia"/>
          <w:b/>
          <w:color w:val="3D3D3D"/>
          <w:kern w:val="0"/>
          <w:sz w:val="15"/>
          <w:u w:val="single"/>
        </w:rPr>
        <w:t>作出</w:t>
      </w:r>
      <w:proofErr w:type="gramEnd"/>
      <w:r w:rsidRPr="0093038C">
        <w:rPr>
          <w:rFonts w:ascii="方正黑体_GBK" w:eastAsia="方正黑体_GBK" w:hint="eastAsia"/>
          <w:b/>
          <w:color w:val="3D3D3D"/>
          <w:kern w:val="0"/>
          <w:sz w:val="15"/>
          <w:u w:val="single"/>
        </w:rPr>
        <w:t>认购/申购/赎回等决定，自主承担投资风险。本投资者拒绝向销售机构提供或者未按照要求提供信息的，销售机构有权告知本投资者相应的后果和责任，并有权拒绝向本投资者提供销售服务。</w:t>
      </w:r>
    </w:p>
    <w:p w:rsidR="00D74678" w:rsidRPr="0093038C" w:rsidRDefault="005D5CC8">
      <w:pPr>
        <w:widowControl/>
        <w:spacing w:line="200" w:lineRule="exact"/>
        <w:ind w:firstLine="420"/>
        <w:rPr>
          <w:rFonts w:ascii="方正黑体_GBK" w:eastAsia="方正黑体_GBK" w:hAnsi="Dialog" w:hint="eastAsia"/>
          <w:b/>
          <w:color w:val="3D3D3D"/>
          <w:kern w:val="0"/>
          <w:sz w:val="15"/>
          <w:u w:val="single"/>
        </w:rPr>
      </w:pPr>
      <w:r w:rsidRPr="0093038C">
        <w:rPr>
          <w:rFonts w:ascii="方正黑体_GBK" w:eastAsia="方正黑体_GBK" w:hint="eastAsia"/>
          <w:b/>
          <w:color w:val="3D3D3D"/>
          <w:kern w:val="0"/>
          <w:sz w:val="15"/>
        </w:rPr>
        <w:t>3.</w:t>
      </w:r>
      <w:r w:rsidRPr="0093038C">
        <w:rPr>
          <w:rFonts w:ascii="方正黑体_GBK" w:eastAsia="方正黑体_GBK" w:hint="eastAsia"/>
          <w:b/>
          <w:color w:val="3D3D3D"/>
          <w:kern w:val="0"/>
          <w:sz w:val="15"/>
          <w:u w:val="single"/>
        </w:rPr>
        <w:t>本投资者确认，投资本理财产品的资金非贷款、发行债券等募集的非自有资金。</w:t>
      </w:r>
    </w:p>
    <w:p w:rsidR="00D74678" w:rsidRPr="0093038C" w:rsidRDefault="005D5CC8">
      <w:pPr>
        <w:widowControl/>
        <w:spacing w:line="200" w:lineRule="exact"/>
        <w:ind w:firstLine="420"/>
        <w:rPr>
          <w:rFonts w:ascii="方正黑体_GBK" w:eastAsia="方正黑体_GBK"/>
          <w:b/>
          <w:color w:val="3D3D3D"/>
          <w:kern w:val="0"/>
          <w:sz w:val="15"/>
          <w:u w:val="single"/>
        </w:rPr>
      </w:pPr>
      <w:r w:rsidRPr="0093038C">
        <w:rPr>
          <w:rFonts w:ascii="方正黑体_GBK" w:eastAsia="方正黑体_GBK" w:hint="eastAsia"/>
          <w:b/>
          <w:color w:val="3D3D3D"/>
          <w:kern w:val="0"/>
          <w:sz w:val="15"/>
        </w:rPr>
        <w:t>4.</w:t>
      </w:r>
      <w:r w:rsidRPr="0093038C">
        <w:rPr>
          <w:rFonts w:ascii="方正黑体_GBK" w:eastAsia="方正黑体_GBK" w:hint="eastAsia"/>
          <w:b/>
          <w:color w:val="3D3D3D"/>
          <w:kern w:val="0"/>
          <w:sz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D74678" w:rsidRPr="0093038C" w:rsidRDefault="005D5CC8">
      <w:pPr>
        <w:widowControl/>
        <w:spacing w:line="200" w:lineRule="exact"/>
        <w:ind w:firstLine="420"/>
        <w:rPr>
          <w:rFonts w:ascii="方正黑体_GBK" w:eastAsia="方正黑体_GBK"/>
          <w:b/>
          <w:color w:val="3D3D3D"/>
          <w:kern w:val="0"/>
          <w:sz w:val="15"/>
          <w:u w:val="single"/>
        </w:rPr>
      </w:pPr>
      <w:r w:rsidRPr="0093038C">
        <w:rPr>
          <w:rFonts w:ascii="方正黑体_GBK" w:eastAsia="方正黑体_GBK" w:hint="eastAsia"/>
          <w:b/>
          <w:color w:val="3D3D3D"/>
          <w:kern w:val="0"/>
          <w:sz w:val="15"/>
        </w:rPr>
        <w:t>5.</w:t>
      </w:r>
      <w:r w:rsidRPr="0093038C">
        <w:rPr>
          <w:rFonts w:ascii="方正黑体_GBK" w:eastAsia="方正黑体_GBK" w:hint="eastAsia"/>
          <w:b/>
          <w:color w:val="3D3D3D"/>
          <w:kern w:val="0"/>
          <w:sz w:val="15"/>
          <w:u w:val="single"/>
        </w:rPr>
        <w:t>本投资者已认真阅读并充分理解</w:t>
      </w:r>
      <w:proofErr w:type="gramStart"/>
      <w:r w:rsidRPr="0093038C">
        <w:rPr>
          <w:rFonts w:ascii="方正黑体_GBK" w:eastAsia="方正黑体_GBK" w:hint="eastAsia"/>
          <w:b/>
          <w:color w:val="3D3D3D"/>
          <w:kern w:val="0"/>
          <w:sz w:val="15"/>
          <w:u w:val="single"/>
        </w:rPr>
        <w:t>本风险</w:t>
      </w:r>
      <w:proofErr w:type="gramEnd"/>
      <w:r w:rsidRPr="0093038C">
        <w:rPr>
          <w:rFonts w:ascii="方正黑体_GBK" w:eastAsia="方正黑体_GBK" w:hint="eastAsia"/>
          <w:b/>
          <w:color w:val="3D3D3D"/>
          <w:kern w:val="0"/>
          <w:sz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D74678" w:rsidRPr="0093038C" w:rsidRDefault="005D5CC8">
      <w:pPr>
        <w:widowControl/>
        <w:spacing w:line="200" w:lineRule="exact"/>
        <w:ind w:firstLine="420"/>
        <w:rPr>
          <w:rFonts w:ascii="方正黑体_GBK" w:eastAsia="方正黑体_GBK"/>
          <w:b/>
          <w:color w:val="3D3D3D"/>
          <w:kern w:val="0"/>
          <w:sz w:val="15"/>
          <w:u w:val="single"/>
        </w:rPr>
      </w:pPr>
      <w:r w:rsidRPr="0093038C">
        <w:rPr>
          <w:rFonts w:ascii="方正黑体_GBK" w:eastAsia="方正黑体_GBK" w:hint="eastAsia"/>
          <w:b/>
          <w:color w:val="3D3D3D"/>
          <w:kern w:val="0"/>
          <w:sz w:val="15"/>
        </w:rPr>
        <w:t>6.</w:t>
      </w:r>
      <w:r w:rsidRPr="0093038C">
        <w:rPr>
          <w:rFonts w:ascii="方正黑体_GBK" w:eastAsia="方正黑体_GBK" w:hint="eastAsia"/>
          <w:b/>
          <w:color w:val="3D3D3D"/>
          <w:kern w:val="0"/>
          <w:sz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sidRPr="0093038C">
        <w:rPr>
          <w:rFonts w:ascii="方正黑体_GBK" w:eastAsia="方正黑体_GBK" w:hint="eastAsia"/>
          <w:b/>
          <w:color w:val="3D3D3D"/>
          <w:kern w:val="0"/>
          <w:sz w:val="15"/>
          <w:u w:val="single"/>
        </w:rPr>
        <w:t>作出</w:t>
      </w:r>
      <w:proofErr w:type="gramEnd"/>
      <w:r w:rsidRPr="0093038C">
        <w:rPr>
          <w:rFonts w:ascii="方正黑体_GBK" w:eastAsia="方正黑体_GBK" w:hint="eastAsia"/>
          <w:b/>
          <w:color w:val="3D3D3D"/>
          <w:kern w:val="0"/>
          <w:sz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D74678" w:rsidRPr="0093038C" w:rsidRDefault="005D5CC8">
      <w:pPr>
        <w:widowControl/>
        <w:spacing w:line="200" w:lineRule="exact"/>
        <w:ind w:firstLine="420"/>
        <w:rPr>
          <w:rFonts w:ascii="方正黑体_GBK" w:eastAsia="方正黑体_GBK" w:hAnsi="Dialog" w:hint="eastAsia"/>
          <w:b/>
          <w:color w:val="3D3D3D"/>
          <w:kern w:val="0"/>
          <w:sz w:val="15"/>
          <w:u w:val="single"/>
        </w:rPr>
      </w:pPr>
      <w:r w:rsidRPr="0093038C">
        <w:rPr>
          <w:rFonts w:ascii="方正黑体_GBK" w:eastAsia="方正黑体_GBK" w:hint="eastAsia"/>
          <w:b/>
          <w:color w:val="3D3D3D"/>
          <w:kern w:val="0"/>
          <w:sz w:val="15"/>
        </w:rPr>
        <w:t>7.</w:t>
      </w:r>
      <w:r w:rsidRPr="0093038C">
        <w:rPr>
          <w:rFonts w:ascii="方正黑体_GBK" w:eastAsia="方正黑体_GBK" w:hint="eastAsia"/>
          <w:b/>
          <w:color w:val="3D3D3D"/>
          <w:kern w:val="0"/>
          <w:sz w:val="15"/>
          <w:u w:val="single"/>
        </w:rPr>
        <w:t>如销售机构为管理人关联方的，本投资者认可此等关联方及关联交易情形的存在并自愿承担相关投资风险。</w:t>
      </w:r>
    </w:p>
    <w:p w:rsidR="00D74678" w:rsidRPr="0093038C" w:rsidRDefault="005D5CC8">
      <w:pPr>
        <w:widowControl/>
        <w:spacing w:line="200" w:lineRule="exact"/>
        <w:ind w:firstLine="420"/>
        <w:rPr>
          <w:rFonts w:ascii="方正黑体_GBK" w:eastAsia="方正黑体_GBK"/>
          <w:color w:val="3D3D3D"/>
          <w:kern w:val="0"/>
          <w:sz w:val="15"/>
          <w:u w:val="single"/>
        </w:rPr>
      </w:pPr>
      <w:r w:rsidRPr="0093038C">
        <w:rPr>
          <w:rFonts w:ascii="方正黑体_GBK" w:eastAsia="方正黑体_GBK" w:hint="eastAsia"/>
          <w:color w:val="3D3D3D"/>
          <w:kern w:val="0"/>
          <w:sz w:val="15"/>
        </w:rPr>
        <w:t>8.以下划线部分，请投资者抄录确认：“</w:t>
      </w:r>
      <w:r w:rsidRPr="0093038C">
        <w:rPr>
          <w:rFonts w:ascii="方正黑体_GBK" w:eastAsia="方正黑体_GBK" w:hint="eastAsia"/>
          <w:b/>
          <w:color w:val="3D3D3D"/>
          <w:kern w:val="0"/>
          <w:sz w:val="15"/>
          <w:u w:val="single"/>
        </w:rPr>
        <w:t>本人已经阅读风险揭示，愿意承担投资风险</w:t>
      </w:r>
      <w:r w:rsidRPr="0093038C">
        <w:rPr>
          <w:rFonts w:ascii="方正黑体_GBK" w:eastAsia="方正黑体_GBK" w:hint="eastAsia"/>
          <w:color w:val="3D3D3D"/>
          <w:kern w:val="0"/>
          <w:sz w:val="15"/>
        </w:rPr>
        <w:t>”。</w:t>
      </w:r>
    </w:p>
    <w:p w:rsidR="00D74678" w:rsidRPr="0093038C" w:rsidRDefault="005D5CC8">
      <w:pPr>
        <w:widowControl/>
        <w:spacing w:line="200" w:lineRule="exact"/>
        <w:ind w:firstLine="210"/>
        <w:rPr>
          <w:rFonts w:ascii="方正黑体_GBK" w:eastAsia="方正黑体_GBK"/>
          <w:color w:val="3D3D3D"/>
          <w:kern w:val="0"/>
          <w:sz w:val="15"/>
        </w:rPr>
      </w:pPr>
      <w:r w:rsidRPr="0093038C">
        <w:rPr>
          <w:rFonts w:ascii="方正黑体_GBK" w:eastAsia="方正黑体_GBK" w:hint="eastAsia"/>
          <w:color w:val="3D3D3D"/>
          <w:kern w:val="0"/>
          <w:sz w:val="15"/>
        </w:rPr>
        <w:t xml:space="preserve">         </w:t>
      </w:r>
    </w:p>
    <w:p w:rsidR="00D74678" w:rsidRPr="0093038C" w:rsidRDefault="00D74678">
      <w:pPr>
        <w:widowControl/>
        <w:spacing w:line="200" w:lineRule="exact"/>
        <w:ind w:firstLine="210"/>
        <w:rPr>
          <w:rFonts w:ascii="方正黑体_GBK" w:eastAsia="方正黑体_GBK"/>
          <w:color w:val="3D3D3D"/>
          <w:kern w:val="0"/>
          <w:sz w:val="15"/>
        </w:rPr>
      </w:pPr>
    </w:p>
    <w:p w:rsidR="00D74678" w:rsidRPr="0093038C" w:rsidRDefault="005D5CC8">
      <w:pPr>
        <w:widowControl/>
        <w:spacing w:line="200" w:lineRule="exact"/>
        <w:ind w:firstLine="210"/>
        <w:rPr>
          <w:rFonts w:ascii="方正黑体_GBK" w:eastAsia="方正黑体_GBK"/>
          <w:color w:val="3D3D3D"/>
          <w:kern w:val="0"/>
          <w:sz w:val="15"/>
        </w:rPr>
      </w:pPr>
      <w:r w:rsidRPr="0093038C">
        <w:rPr>
          <w:rFonts w:ascii="方正黑体_GBK" w:eastAsia="方正黑体_GBK" w:hint="eastAsia"/>
          <w:color w:val="3D3D3D"/>
          <w:kern w:val="0"/>
          <w:sz w:val="15"/>
        </w:rPr>
        <w:t>投资者抄录：</w:t>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r w:rsidRPr="0093038C">
        <w:rPr>
          <w:rFonts w:ascii="方正黑体_GBK" w:eastAsia="方正黑体_GBK" w:hint="eastAsia"/>
          <w:sz w:val="15"/>
          <w:u w:val="single"/>
        </w:rPr>
        <w:tab/>
      </w:r>
    </w:p>
    <w:p w:rsidR="00D74678" w:rsidRPr="0093038C" w:rsidRDefault="00D74678">
      <w:pPr>
        <w:widowControl/>
        <w:spacing w:line="200" w:lineRule="exact"/>
        <w:ind w:firstLine="210"/>
        <w:rPr>
          <w:rFonts w:ascii="方正黑体_GBK" w:eastAsia="方正黑体_GBK"/>
          <w:color w:val="3D3D3D"/>
          <w:kern w:val="0"/>
          <w:sz w:val="13"/>
        </w:rPr>
      </w:pPr>
    </w:p>
    <w:p w:rsidR="00D74678" w:rsidRPr="0093038C" w:rsidRDefault="00D74678">
      <w:pPr>
        <w:widowControl/>
        <w:spacing w:line="200" w:lineRule="exact"/>
        <w:ind w:firstLine="210"/>
        <w:jc w:val="left"/>
        <w:rPr>
          <w:rFonts w:ascii="方正黑体_GBK" w:eastAsia="方正黑体_GBK"/>
          <w:color w:val="3D3D3D"/>
          <w:kern w:val="0"/>
          <w:sz w:val="13"/>
        </w:rPr>
      </w:pPr>
    </w:p>
    <w:p w:rsidR="00D74678" w:rsidRPr="0093038C" w:rsidRDefault="00D74678">
      <w:pPr>
        <w:widowControl/>
        <w:spacing w:line="200" w:lineRule="exact"/>
        <w:ind w:firstLine="210"/>
        <w:jc w:val="left"/>
        <w:rPr>
          <w:rFonts w:ascii="方正黑体_GBK" w:eastAsia="方正黑体_GBK"/>
          <w:color w:val="3D3D3D"/>
          <w:kern w:val="0"/>
          <w:sz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74678" w:rsidRPr="0093038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400" w:lineRule="exact"/>
              <w:jc w:val="center"/>
              <w:rPr>
                <w:rFonts w:ascii="方正黑体_GBK" w:eastAsia="方正黑体_GBK"/>
                <w:b/>
                <w:sz w:val="15"/>
              </w:rPr>
            </w:pPr>
            <w:r w:rsidRPr="0093038C">
              <w:rPr>
                <w:rFonts w:ascii="方正黑体_GBK" w:eastAsia="方正黑体_GBK" w:hint="eastAsia"/>
                <w:b/>
                <w:sz w:val="15"/>
              </w:rPr>
              <w:t>个人投资者</w:t>
            </w:r>
          </w:p>
        </w:tc>
      </w:tr>
      <w:tr w:rsidR="00D74678" w:rsidRPr="0093038C">
        <w:tc>
          <w:tcPr>
            <w:tcW w:w="9287" w:type="dxa"/>
            <w:tcBorders>
              <w:top w:val="single" w:sz="4" w:space="0" w:color="auto"/>
              <w:left w:val="single" w:sz="4" w:space="0" w:color="auto"/>
              <w:bottom w:val="single" w:sz="4" w:space="0" w:color="auto"/>
              <w:right w:val="single" w:sz="4" w:space="0" w:color="auto"/>
              <w:tl2br w:val="nil"/>
              <w:tr2bl w:val="nil"/>
            </w:tcBorders>
          </w:tcPr>
          <w:p w:rsidR="00D74678" w:rsidRPr="0093038C" w:rsidRDefault="005D5CC8">
            <w:pPr>
              <w:widowControl/>
              <w:spacing w:line="360" w:lineRule="auto"/>
              <w:rPr>
                <w:rFonts w:ascii="方正黑体_GBK" w:eastAsia="方正黑体_GBK"/>
                <w:color w:val="3D3D3D"/>
                <w:kern w:val="0"/>
                <w:sz w:val="13"/>
              </w:rPr>
            </w:pPr>
            <w:r w:rsidRPr="0093038C">
              <w:rPr>
                <w:rFonts w:ascii="方正黑体_GBK" w:eastAsia="方正黑体_GBK" w:hint="eastAsia"/>
                <w:sz w:val="15"/>
              </w:rPr>
              <w:t>签名：</w:t>
            </w:r>
          </w:p>
          <w:p w:rsidR="00D74678" w:rsidRPr="0093038C" w:rsidRDefault="005D5CC8">
            <w:pPr>
              <w:widowControl/>
              <w:spacing w:line="360" w:lineRule="auto"/>
              <w:ind w:firstLineChars="100" w:firstLine="130"/>
              <w:rPr>
                <w:rFonts w:ascii="方正黑体_GBK" w:eastAsia="方正黑体_GBK"/>
                <w:sz w:val="15"/>
              </w:rPr>
            </w:pPr>
            <w:r w:rsidRPr="0093038C">
              <w:rPr>
                <w:rFonts w:ascii="方正黑体_GBK" w:eastAsia="方正黑体_GBK" w:hint="eastAsia"/>
                <w:color w:val="3D3D3D"/>
                <w:kern w:val="0"/>
                <w:sz w:val="13"/>
              </w:rPr>
              <w:t>年   月    日</w:t>
            </w:r>
          </w:p>
        </w:tc>
      </w:tr>
      <w:tr w:rsidR="00D74678" w:rsidRPr="0093038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400" w:lineRule="exact"/>
              <w:jc w:val="center"/>
              <w:rPr>
                <w:rFonts w:ascii="方正黑体_GBK" w:eastAsia="方正黑体_GBK"/>
                <w:sz w:val="15"/>
              </w:rPr>
            </w:pPr>
            <w:r w:rsidRPr="0093038C">
              <w:rPr>
                <w:rFonts w:ascii="方正黑体_GBK" w:eastAsia="方正黑体_GBK" w:hint="eastAsia"/>
                <w:b/>
                <w:color w:val="3D3D3D"/>
                <w:kern w:val="0"/>
                <w:sz w:val="15"/>
              </w:rPr>
              <w:t>机构投资者</w:t>
            </w:r>
          </w:p>
        </w:tc>
      </w:tr>
      <w:tr w:rsidR="00D74678" w:rsidRPr="0093038C">
        <w:tc>
          <w:tcPr>
            <w:tcW w:w="9287" w:type="dxa"/>
            <w:tcBorders>
              <w:top w:val="single" w:sz="4" w:space="0" w:color="auto"/>
              <w:left w:val="single" w:sz="4" w:space="0" w:color="auto"/>
              <w:bottom w:val="single" w:sz="4" w:space="0" w:color="auto"/>
              <w:right w:val="single" w:sz="4" w:space="0" w:color="auto"/>
              <w:tl2br w:val="nil"/>
              <w:tr2bl w:val="nil"/>
            </w:tcBorders>
          </w:tcPr>
          <w:p w:rsidR="00D74678" w:rsidRPr="0093038C" w:rsidRDefault="00D74678">
            <w:pPr>
              <w:widowControl/>
              <w:spacing w:line="200" w:lineRule="exact"/>
              <w:jc w:val="left"/>
              <w:rPr>
                <w:rFonts w:ascii="方正黑体_GBK" w:eastAsia="方正黑体_GBK"/>
                <w:b/>
                <w:color w:val="3D3D3D"/>
                <w:kern w:val="0"/>
                <w:sz w:val="15"/>
              </w:rPr>
            </w:pPr>
          </w:p>
          <w:p w:rsidR="00D74678" w:rsidRPr="0093038C" w:rsidRDefault="005D5CC8">
            <w:pPr>
              <w:widowControl/>
              <w:spacing w:line="200" w:lineRule="exact"/>
              <w:jc w:val="left"/>
              <w:rPr>
                <w:rFonts w:ascii="方正黑体_GBK" w:eastAsia="方正黑体_GBK"/>
                <w:b/>
                <w:color w:val="3D3D3D"/>
                <w:kern w:val="0"/>
                <w:sz w:val="15"/>
              </w:rPr>
            </w:pPr>
            <w:r w:rsidRPr="0093038C">
              <w:rPr>
                <w:rFonts w:ascii="方正黑体_GBK" w:eastAsia="方正黑体_GBK" w:hint="eastAsia"/>
                <w:b/>
                <w:color w:val="3D3D3D"/>
                <w:kern w:val="0"/>
                <w:sz w:val="15"/>
              </w:rPr>
              <w:t>盖章（公章）</w:t>
            </w:r>
          </w:p>
          <w:p w:rsidR="00D74678" w:rsidRPr="0093038C" w:rsidRDefault="00D74678">
            <w:pPr>
              <w:widowControl/>
              <w:spacing w:line="200" w:lineRule="exact"/>
              <w:jc w:val="left"/>
              <w:rPr>
                <w:rFonts w:ascii="方正黑体_GBK" w:eastAsia="方正黑体_GBK"/>
                <w:b/>
                <w:color w:val="3D3D3D"/>
                <w:kern w:val="0"/>
                <w:sz w:val="15"/>
              </w:rPr>
            </w:pPr>
          </w:p>
          <w:p w:rsidR="00D74678" w:rsidRPr="0093038C" w:rsidRDefault="005D5CC8">
            <w:pPr>
              <w:widowControl/>
              <w:spacing w:line="200" w:lineRule="exact"/>
              <w:jc w:val="left"/>
              <w:rPr>
                <w:rFonts w:ascii="方正黑体_GBK" w:eastAsia="方正黑体_GBK"/>
                <w:b/>
                <w:color w:val="3D3D3D"/>
                <w:kern w:val="0"/>
                <w:sz w:val="15"/>
              </w:rPr>
            </w:pPr>
            <w:r w:rsidRPr="0093038C">
              <w:rPr>
                <w:rFonts w:ascii="方正黑体_GBK" w:eastAsia="方正黑体_GBK" w:hint="eastAsia"/>
                <w:b/>
                <w:color w:val="3D3D3D"/>
                <w:kern w:val="0"/>
                <w:sz w:val="15"/>
              </w:rPr>
              <w:t xml:space="preserve">法定代表人或授权代理人（签名或盖章）： </w:t>
            </w:r>
            <w:r w:rsidRPr="0093038C">
              <w:rPr>
                <w:rFonts w:ascii="方正黑体_GBK" w:eastAsia="方正黑体_GBK" w:hint="eastAsia"/>
                <w:b/>
                <w:color w:val="3D3D3D"/>
                <w:kern w:val="0"/>
                <w:sz w:val="15"/>
              </w:rPr>
              <w:tab/>
            </w:r>
          </w:p>
          <w:p w:rsidR="00D74678" w:rsidRPr="0093038C" w:rsidRDefault="00D74678">
            <w:pPr>
              <w:widowControl/>
              <w:spacing w:line="200" w:lineRule="exact"/>
              <w:jc w:val="left"/>
              <w:rPr>
                <w:rFonts w:ascii="方正黑体_GBK" w:eastAsia="方正黑体_GBK"/>
                <w:color w:val="3D3D3D"/>
                <w:kern w:val="0"/>
                <w:sz w:val="13"/>
              </w:rPr>
            </w:pPr>
          </w:p>
          <w:p w:rsidR="00D74678" w:rsidRPr="0093038C" w:rsidRDefault="005D5CC8">
            <w:pPr>
              <w:widowControl/>
              <w:spacing w:line="200" w:lineRule="exact"/>
              <w:jc w:val="left"/>
              <w:rPr>
                <w:rFonts w:ascii="方正黑体_GBK" w:eastAsia="方正黑体_GBK"/>
                <w:sz w:val="15"/>
              </w:rPr>
            </w:pPr>
            <w:r w:rsidRPr="0093038C">
              <w:rPr>
                <w:rFonts w:ascii="方正黑体_GBK" w:eastAsia="方正黑体_GBK" w:hint="eastAsia"/>
                <w:color w:val="3D3D3D"/>
                <w:kern w:val="0"/>
                <w:sz w:val="13"/>
              </w:rPr>
              <w:t xml:space="preserve">      年   月    日</w:t>
            </w:r>
          </w:p>
        </w:tc>
      </w:tr>
      <w:tr w:rsidR="00D74678" w:rsidRPr="0093038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400" w:lineRule="exact"/>
              <w:jc w:val="center"/>
              <w:rPr>
                <w:rFonts w:ascii="方正黑体_GBK" w:eastAsia="方正黑体_GBK"/>
                <w:sz w:val="15"/>
              </w:rPr>
            </w:pPr>
            <w:r w:rsidRPr="0093038C">
              <w:rPr>
                <w:rFonts w:ascii="方正黑体_GBK" w:eastAsia="方正黑体_GBK" w:hint="eastAsia"/>
                <w:b/>
                <w:sz w:val="15"/>
              </w:rPr>
              <w:t>电子渠道</w:t>
            </w:r>
          </w:p>
        </w:tc>
      </w:tr>
      <w:tr w:rsidR="00D74678" w:rsidRPr="0093038C">
        <w:tc>
          <w:tcPr>
            <w:tcW w:w="9287" w:type="dxa"/>
            <w:tcBorders>
              <w:top w:val="single" w:sz="4" w:space="0" w:color="auto"/>
              <w:left w:val="single" w:sz="4" w:space="0" w:color="auto"/>
              <w:bottom w:val="single" w:sz="4" w:space="0" w:color="auto"/>
              <w:right w:val="single" w:sz="4" w:space="0" w:color="auto"/>
              <w:tl2br w:val="nil"/>
              <w:tr2bl w:val="nil"/>
            </w:tcBorders>
          </w:tcPr>
          <w:p w:rsidR="00D74678" w:rsidRPr="0093038C" w:rsidRDefault="005D5CC8">
            <w:pPr>
              <w:widowControl/>
              <w:spacing w:line="200" w:lineRule="exact"/>
              <w:ind w:firstLineChars="200" w:firstLine="300"/>
              <w:rPr>
                <w:rFonts w:ascii="方正黑体_GBK" w:eastAsia="方正黑体_GBK"/>
                <w:sz w:val="15"/>
              </w:rPr>
            </w:pPr>
            <w:r w:rsidRPr="0093038C">
              <w:rPr>
                <w:rFonts w:ascii="方正黑体_GBK" w:eastAsia="方正黑体_GBK" w:hint="eastAsia"/>
                <w:b/>
                <w:color w:val="3D3D3D"/>
                <w:kern w:val="0"/>
                <w:sz w:val="15"/>
                <w:u w:val="single"/>
              </w:rPr>
              <w:t>如投资者通过电子渠道（包括但不限于网上银行、手机银行或官方网站等）购买本理财产品的，</w:t>
            </w:r>
            <w:proofErr w:type="gramStart"/>
            <w:r w:rsidRPr="0093038C">
              <w:rPr>
                <w:rFonts w:ascii="方正黑体_GBK" w:eastAsia="方正黑体_GBK" w:hint="eastAsia"/>
                <w:spacing w:val="10"/>
                <w:sz w:val="15"/>
              </w:rPr>
              <w:t>本风险</w:t>
            </w:r>
            <w:proofErr w:type="gramEnd"/>
            <w:r w:rsidRPr="0093038C">
              <w:rPr>
                <w:rFonts w:ascii="方正黑体_GBK" w:eastAsia="方正黑体_GBK" w:hint="eastAsia"/>
                <w:spacing w:val="10"/>
                <w:sz w:val="15"/>
              </w:rPr>
              <w:t>揭示书以数据电文形式订立，</w:t>
            </w:r>
            <w:r w:rsidRPr="0093038C">
              <w:rPr>
                <w:rFonts w:ascii="方正黑体_GBK" w:eastAsia="方正黑体_GBK" w:hint="eastAsia"/>
                <w:b/>
                <w:color w:val="3D3D3D"/>
                <w:kern w:val="0"/>
                <w:sz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sidRPr="0093038C">
              <w:rPr>
                <w:rFonts w:ascii="方正黑体_GBK" w:eastAsia="方正黑体_GBK" w:hint="eastAsia"/>
                <w:spacing w:val="10"/>
                <w:sz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D74678" w:rsidRPr="0093038C" w:rsidRDefault="00D74678">
      <w:pPr>
        <w:rPr>
          <w:rFonts w:ascii="方正黑体_GBK" w:eastAsia="方正黑体_GBK"/>
          <w:sz w:val="21"/>
        </w:rPr>
      </w:pPr>
    </w:p>
    <w:p w:rsidR="00D74678" w:rsidRPr="0093038C" w:rsidRDefault="005D5CC8">
      <w:pPr>
        <w:spacing w:line="0" w:lineRule="atLeast"/>
        <w:jc w:val="center"/>
        <w:rPr>
          <w:rFonts w:ascii="方正黑体_GBK" w:eastAsia="方正黑体_GBK"/>
          <w:b/>
          <w:bCs/>
          <w:kern w:val="0"/>
          <w:sz w:val="24"/>
          <w:szCs w:val="15"/>
        </w:rPr>
      </w:pPr>
      <w:r w:rsidRPr="0093038C">
        <w:rPr>
          <w:rFonts w:ascii="方正黑体_GBK" w:eastAsia="方正黑体_GBK" w:hint="eastAsia"/>
          <w:b/>
          <w:bCs/>
          <w:kern w:val="0"/>
          <w:sz w:val="24"/>
          <w:szCs w:val="15"/>
        </w:rPr>
        <w:br w:type="page"/>
      </w:r>
    </w:p>
    <w:p w:rsidR="00D74678" w:rsidRPr="0093038C" w:rsidRDefault="005D5CC8">
      <w:pPr>
        <w:spacing w:line="0" w:lineRule="atLeast"/>
        <w:jc w:val="center"/>
        <w:rPr>
          <w:rFonts w:ascii="方正黑体_GBK" w:eastAsia="方正黑体_GBK"/>
          <w:b/>
          <w:bCs/>
          <w:kern w:val="0"/>
          <w:sz w:val="24"/>
          <w:szCs w:val="24"/>
        </w:rPr>
      </w:pPr>
      <w:r w:rsidRPr="0093038C">
        <w:rPr>
          <w:rFonts w:ascii="方正黑体_GBK" w:eastAsia="方正黑体_GBK" w:hint="eastAsia"/>
          <w:b/>
          <w:bCs/>
          <w:kern w:val="0"/>
          <w:sz w:val="24"/>
          <w:szCs w:val="15"/>
        </w:rPr>
        <w:lastRenderedPageBreak/>
        <w:t xml:space="preserve"> </w:t>
      </w:r>
      <w:r w:rsidRPr="0093038C">
        <w:rPr>
          <w:rFonts w:ascii="方正黑体_GBK" w:eastAsia="方正黑体_GBK" w:hint="eastAsia"/>
          <w:b/>
          <w:bCs/>
          <w:kern w:val="0"/>
          <w:sz w:val="24"/>
          <w:szCs w:val="24"/>
        </w:rPr>
        <w:t>理财产品说明书</w:t>
      </w:r>
    </w:p>
    <w:p w:rsidR="00D74678" w:rsidRPr="0093038C" w:rsidRDefault="005D5CC8">
      <w:pPr>
        <w:spacing w:line="0" w:lineRule="atLeast"/>
        <w:jc w:val="center"/>
        <w:rPr>
          <w:rFonts w:ascii="方正黑体_GBK" w:eastAsia="方正黑体_GBK"/>
          <w:b/>
          <w:bCs/>
          <w:i/>
          <w:iCs/>
          <w:kern w:val="0"/>
          <w:sz w:val="24"/>
          <w:szCs w:val="24"/>
          <w:u w:val="single"/>
        </w:rPr>
      </w:pPr>
      <w:r w:rsidRPr="0093038C">
        <w:rPr>
          <w:rFonts w:ascii="方正黑体_GBK" w:eastAsia="方正黑体_GBK" w:hint="eastAsia"/>
          <w:b/>
          <w:bCs/>
          <w:i/>
          <w:iCs/>
          <w:kern w:val="0"/>
          <w:sz w:val="24"/>
          <w:szCs w:val="24"/>
          <w:u w:val="single"/>
        </w:rPr>
        <w:t>“理财非存款、产品有风险、投资须谨慎”！</w:t>
      </w:r>
    </w:p>
    <w:p w:rsidR="00D74678" w:rsidRPr="0093038C" w:rsidRDefault="005D5CC8">
      <w:pPr>
        <w:pStyle w:val="a8"/>
        <w:spacing w:line="200" w:lineRule="exact"/>
        <w:ind w:firstLine="0"/>
        <w:jc w:val="both"/>
        <w:rPr>
          <w:rFonts w:ascii="方正黑体_GBK" w:eastAsia="方正黑体_GBK"/>
          <w:b/>
          <w:color w:val="3D3D3D"/>
          <w:sz w:val="15"/>
          <w:szCs w:val="15"/>
        </w:rPr>
      </w:pPr>
      <w:r w:rsidRPr="0093038C">
        <w:rPr>
          <w:rFonts w:ascii="方正黑体_GBK" w:eastAsia="方正黑体_GBK" w:hint="eastAsia"/>
          <w:b/>
          <w:color w:val="3D3D3D"/>
          <w:sz w:val="15"/>
          <w:szCs w:val="15"/>
        </w:rPr>
        <w:t>第一条  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74678" w:rsidRPr="0093038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南银</w:t>
            </w:r>
            <w:proofErr w:type="gramStart"/>
            <w:r w:rsidRPr="0093038C">
              <w:rPr>
                <w:rFonts w:ascii="方正黑体_GBK" w:eastAsia="方正黑体_GBK" w:hint="eastAsia"/>
                <w:kern w:val="0"/>
              </w:rPr>
              <w:t>理财鼎瑞安稳</w:t>
            </w:r>
            <w:proofErr w:type="gramEnd"/>
            <w:r w:rsidRPr="0093038C">
              <w:rPr>
                <w:rFonts w:ascii="方正黑体_GBK" w:eastAsia="方正黑体_GBK" w:hint="eastAsia"/>
                <w:kern w:val="0"/>
              </w:rPr>
              <w:t>182天周期型1号开放式公募人民币理财产品</w:t>
            </w:r>
          </w:p>
        </w:tc>
      </w:tr>
      <w:tr w:rsidR="00D74678" w:rsidRPr="0093038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开放式、固定收益类、公募、净值型</w:t>
            </w:r>
          </w:p>
        </w:tc>
      </w:tr>
      <w:tr w:rsidR="00D74678" w:rsidRPr="0093038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公开募集</w:t>
            </w:r>
          </w:p>
        </w:tc>
      </w:tr>
      <w:tr w:rsidR="00D74678" w:rsidRPr="0093038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ZZ700322400030</w:t>
            </w:r>
          </w:p>
        </w:tc>
      </w:tr>
      <w:tr w:rsidR="00D74678" w:rsidRPr="0093038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cs="宋体" w:hint="eastAsia"/>
                <w:kern w:val="0"/>
              </w:rPr>
              <w:t>Z7003224000045(投资者可依据该编码在中国</w:t>
            </w:r>
            <w:proofErr w:type="gramStart"/>
            <w:r w:rsidRPr="0093038C">
              <w:rPr>
                <w:rFonts w:ascii="方正黑体_GBK" w:eastAsia="方正黑体_GBK" w:cs="宋体" w:hint="eastAsia"/>
                <w:kern w:val="0"/>
              </w:rPr>
              <w:t>理财网</w:t>
            </w:r>
            <w:proofErr w:type="gramEnd"/>
            <w:r w:rsidRPr="0093038C">
              <w:rPr>
                <w:rFonts w:ascii="方正黑体_GBK" w:eastAsia="方正黑体_GBK" w:cs="宋体" w:hint="eastAsia"/>
                <w:kern w:val="0"/>
              </w:rPr>
              <w:t>www.chinawealth.com.cn查询理财产品相关信息）</w:t>
            </w:r>
          </w:p>
        </w:tc>
      </w:tr>
      <w:tr w:rsidR="00D74678" w:rsidRPr="0093038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A份额：Z13001</w:t>
            </w:r>
          </w:p>
        </w:tc>
      </w:tr>
      <w:tr w:rsidR="00D74678" w:rsidRPr="0093038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widowControl/>
              <w:spacing w:line="200" w:lineRule="exact"/>
              <w:jc w:val="left"/>
              <w:textAlignment w:val="center"/>
              <w:rPr>
                <w:rFonts w:ascii="方正黑体_GBK" w:eastAsia="方正黑体_GBK"/>
                <w:kern w:val="0"/>
              </w:rPr>
            </w:pPr>
            <w:r w:rsidRPr="0093038C">
              <w:rPr>
                <w:rFonts w:ascii="方正黑体_GBK" w:eastAsia="方正黑体_GBK" w:hint="eastAsia"/>
              </w:rPr>
              <w:t>10年</w:t>
            </w:r>
            <w:r w:rsidRPr="0093038C">
              <w:rPr>
                <w:rFonts w:ascii="方正黑体_GBK" w:eastAsia="方正黑体_GBK" w:cs="宋体" w:hint="eastAsia"/>
                <w:kern w:val="0"/>
              </w:rPr>
              <w:t>（管理人有权提前终止或延期终止）</w:t>
            </w:r>
          </w:p>
        </w:tc>
      </w:tr>
      <w:tr w:rsidR="00D74678" w:rsidRPr="0093038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全国</w:t>
            </w:r>
          </w:p>
        </w:tc>
      </w:tr>
      <w:tr w:rsidR="00D74678" w:rsidRPr="0093038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widowControl/>
              <w:spacing w:line="200" w:lineRule="exact"/>
              <w:jc w:val="left"/>
              <w:textAlignment w:val="center"/>
              <w:rPr>
                <w:rFonts w:ascii="方正黑体_GBK" w:eastAsia="方正黑体_GBK"/>
                <w:kern w:val="0"/>
              </w:rPr>
            </w:pPr>
            <w:r w:rsidRPr="0093038C">
              <w:rPr>
                <w:rFonts w:ascii="方正黑体_GBK" w:eastAsia="方正黑体_GBK" w:hint="eastAsia"/>
                <w:kern w:val="0"/>
              </w:rPr>
              <w:t>人民币</w:t>
            </w:r>
          </w:p>
        </w:tc>
      </w:tr>
      <w:tr w:rsidR="00D74678" w:rsidRPr="0093038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本理财产品规模上限为1000亿元。理财产品管理人有权对上述规模上限根据实际业务需求进行调整。</w:t>
            </w:r>
          </w:p>
        </w:tc>
      </w:tr>
      <w:tr w:rsidR="00D74678" w:rsidRPr="0093038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根据理财产品管理人对理财产品的内部风险评估，本理财产品风险等级为中低风险（</w:t>
            </w:r>
            <w:proofErr w:type="gramStart"/>
            <w:r w:rsidRPr="0093038C">
              <w:rPr>
                <w:rFonts w:ascii="方正黑体_GBK" w:eastAsia="方正黑体_GBK" w:hAnsi="宋体" w:cs="宋体" w:hint="eastAsia"/>
              </w:rPr>
              <w:t>本风险</w:t>
            </w:r>
            <w:proofErr w:type="gramEnd"/>
            <w:r w:rsidRPr="0093038C">
              <w:rPr>
                <w:rFonts w:ascii="方正黑体_GBK" w:eastAsia="方正黑体_GBK" w:hAnsi="宋体" w:cs="宋体" w:hint="eastAsia"/>
              </w:rPr>
              <w:t>等级为管理人内部风险评估结果，仅供参考）。</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代销机构应当设置科学合理的理财产品风险评级的方式和方法，对理财产品进行评级；该产品通过代销机构渠道销售的，理财产品评级应当以代销机构最终披露的评级结果为准。</w:t>
            </w:r>
          </w:p>
        </w:tc>
      </w:tr>
      <w:tr w:rsidR="00D74678" w:rsidRPr="0093038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color w:val="000000"/>
              </w:rPr>
              <w:t>符合相关法律法规、监管规定要求的，经销售机构的风险承受能力评估体系评定（如需）为适合的投资者。</w:t>
            </w:r>
          </w:p>
        </w:tc>
      </w:tr>
      <w:tr w:rsidR="00D74678" w:rsidRPr="0093038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个人投资者投资起点金额1元人民币，以1元的整数</w:t>
            </w:r>
            <w:proofErr w:type="gramStart"/>
            <w:r w:rsidRPr="0093038C">
              <w:rPr>
                <w:rFonts w:ascii="方正黑体_GBK" w:eastAsia="方正黑体_GBK" w:hAnsi="宋体" w:cs="宋体" w:hint="eastAsia"/>
              </w:rPr>
              <w:t>倍</w:t>
            </w:r>
            <w:proofErr w:type="gramEnd"/>
            <w:r w:rsidRPr="0093038C">
              <w:rPr>
                <w:rFonts w:ascii="方正黑体_GBK" w:eastAsia="方正黑体_GBK" w:hAnsi="宋体" w:cs="宋体" w:hint="eastAsia"/>
              </w:rPr>
              <w:t>递增；</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机构投资者投资起点金额1元人民币，以1元的整数</w:t>
            </w:r>
            <w:proofErr w:type="gramStart"/>
            <w:r w:rsidRPr="0093038C">
              <w:rPr>
                <w:rFonts w:ascii="方正黑体_GBK" w:eastAsia="方正黑体_GBK" w:hAnsi="宋体" w:cs="宋体" w:hint="eastAsia"/>
              </w:rPr>
              <w:t>倍</w:t>
            </w:r>
            <w:proofErr w:type="gramEnd"/>
            <w:r w:rsidRPr="0093038C">
              <w:rPr>
                <w:rFonts w:ascii="方正黑体_GBK" w:eastAsia="方正黑体_GBK" w:hAnsi="宋体" w:cs="宋体" w:hint="eastAsia"/>
              </w:rPr>
              <w:t>递增；</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后续在符合监管政策规定的条件下，理财产品管理人有权对上述投资起点金额和递增金额进行调整,并在调整日前至少3个工作日进行信息披露。</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代销机构可根据其销售需要对投资起点金额、递增金额进行重新设定，投资者通过代销机构购买本理财产品的，以该代销机构最终披露的投资起点金额、递增金额为准。</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个人投资者：最高持有金额1亿；</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机构投资者：最高持有金额1亿；</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注：1.管理人有权对上述单个投资者持有金额上限进行调整或取消，并在调整或取消前至少3个工作日公告。</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本理财产品单一投资者持有的份额（含已确认和待确认的份额）不得超过本理财产品总份额的50%，管理人有权拒绝导致投资者持有份额突破前述50%比例限制的认申购申请。</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非因管理人主观因素导致突破上述50%比例限制的，在单一投资者持有比例降至50%以下之前，管理人不再接受该投资者对本理财产品的认申购申请。</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color w:val="000000"/>
              </w:rPr>
              <w:t>2024年01月31日 09:00—2024年01月31日 17:00（管理人有权根据市场变化情况缩短或延长募集期并提前成立或推迟成立，产品提前或推迟成立时管理人将调整相关日期并进行信息披露）代销机构可根据其销售需要在本募集</w:t>
            </w:r>
            <w:proofErr w:type="gramStart"/>
            <w:r w:rsidRPr="0093038C">
              <w:rPr>
                <w:rFonts w:ascii="方正黑体_GBK" w:eastAsia="方正黑体_GBK" w:hAnsi="宋体" w:cs="宋体" w:hint="eastAsia"/>
                <w:color w:val="000000"/>
              </w:rPr>
              <w:t>期范围</w:t>
            </w:r>
            <w:proofErr w:type="gramEnd"/>
            <w:r w:rsidRPr="0093038C">
              <w:rPr>
                <w:rFonts w:ascii="方正黑体_GBK" w:eastAsia="方正黑体_GBK" w:hAnsi="宋体" w:cs="宋体" w:hint="eastAsia"/>
                <w:color w:val="000000"/>
              </w:rPr>
              <w:t>内对募集时间进行重新设定，投资者通过代销机构购买本理财产品的，以该代销机构最终披露的募集时间为准。</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认购份额=确认认购金额/1。（认购份额以去尾法保留两位小数）</w:t>
            </w:r>
          </w:p>
        </w:tc>
      </w:tr>
      <w:tr w:rsidR="00D74678" w:rsidRPr="0093038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color w:val="000000"/>
                <w:kern w:val="0"/>
              </w:rPr>
            </w:pPr>
            <w:r w:rsidRPr="0093038C">
              <w:rPr>
                <w:rFonts w:ascii="方正黑体_GBK" w:eastAsia="方正黑体_GBK" w:hint="eastAsia"/>
                <w:color w:val="000000"/>
                <w:kern w:val="0"/>
              </w:rPr>
              <w:t>同产品成立日</w:t>
            </w:r>
          </w:p>
        </w:tc>
      </w:tr>
      <w:tr w:rsidR="00D74678" w:rsidRPr="0093038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lastRenderedPageBreak/>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int="eastAsia"/>
                <w:kern w:val="0"/>
              </w:rPr>
              <w:t>2024年02月01日</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2024年02月01日—实际到期日（若本理财产品未被提前终止或延期终止，则实际到期日即为名义到期日，存续期限10年；若本理财产品被提前终止或延期终止，则实际到期日为提前终止日或延期终止日。</w:t>
            </w:r>
            <w:r w:rsidRPr="0093038C">
              <w:rPr>
                <w:rFonts w:ascii="方正黑体_GBK" w:eastAsia="方正黑体_GBK" w:hAnsi="宋体" w:cs="宋体" w:hint="eastAsia"/>
                <w:b/>
              </w:rPr>
              <w:t>理财产品管理人有权根据市场变化情况调整产品存续期，届时管理人将调整相关日期并进行信息披露。）</w:t>
            </w:r>
          </w:p>
        </w:tc>
      </w:tr>
      <w:tr w:rsidR="00D74678" w:rsidRPr="0093038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2035年02月01日</w:t>
            </w:r>
            <w:r w:rsidRPr="0093038C">
              <w:rPr>
                <w:rFonts w:ascii="方正黑体_GBK" w:eastAsia="方正黑体_GBK" w:hint="eastAsia"/>
                <w:b/>
                <w:bCs/>
                <w:kern w:val="0"/>
              </w:rPr>
              <w:t>（如遇国家法定节假日，管理人可结合国家法定节假日安排进行调整，并进行信息披露）</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本理财产品存续期内按周开放申购，申购开放期内的申购申请于每周四确认并开始运作，如遇节假日具体申购开放期和运作起始日以公告为准。（申购申请被确认并开始运作的日期称为该申购申请确认份额的“运作起始日”。）</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申购时间：申购开放期起始日9:00-申购开放期结束日17:00，申购开放期结束日17:00前可以撤销申购申请。</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代销机构可根据其销售需要重新设定申购时间，投资者通过代销机构购买本理财产品的，以该代销机构最终披露的申购时间和规则为准。</w:t>
            </w:r>
          </w:p>
        </w:tc>
      </w:tr>
      <w:tr w:rsidR="00D74678" w:rsidRPr="0093038C">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申购份额计算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申购份额=申购金额÷运作起始日前</w:t>
            </w:r>
            <w:proofErr w:type="gramStart"/>
            <w:r w:rsidRPr="0093038C">
              <w:rPr>
                <w:rFonts w:ascii="方正黑体_GBK" w:eastAsia="方正黑体_GBK" w:hAnsi="宋体" w:cs="宋体" w:hint="eastAsia"/>
                <w:b/>
              </w:rPr>
              <w:t>一</w:t>
            </w:r>
            <w:proofErr w:type="gramEnd"/>
            <w:r w:rsidRPr="0093038C">
              <w:rPr>
                <w:rFonts w:ascii="方正黑体_GBK" w:eastAsia="方正黑体_GBK" w:hAnsi="宋体" w:cs="宋体" w:hint="eastAsia"/>
                <w:b/>
              </w:rPr>
              <w:t>工作日的产品单位净值</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（认申购份额按去尾法保留两位小数）</w:t>
            </w:r>
          </w:p>
        </w:tc>
      </w:tr>
      <w:tr w:rsidR="00D74678" w:rsidRPr="0093038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客户每笔持有份额运作满182天将由系统发起全额自动赎回，如遇节假日顺延，投资者无需提交赎回申请。（系统自动发起赎回的日期称为该份额的“自动赎回日”。）</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本产品不设大额赎回条款，无赎回费用。</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注：客户每笔持有份额在进入该份额的运作周期后不能提前赎回（本理财产品每笔份额的运作周期为182天，如遇节假日延长），投资者应考虑产品期限并合理安排自身投资计划。</w:t>
            </w:r>
          </w:p>
        </w:tc>
      </w:tr>
      <w:tr w:rsidR="00D74678" w:rsidRPr="0093038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赎回金额=赎回份额×自动赎回日前</w:t>
            </w:r>
            <w:proofErr w:type="gramStart"/>
            <w:r w:rsidRPr="0093038C">
              <w:rPr>
                <w:rFonts w:ascii="方正黑体_GBK" w:eastAsia="方正黑体_GBK" w:hAnsi="宋体" w:cs="宋体" w:hint="eastAsia"/>
                <w:b/>
              </w:rPr>
              <w:t>一</w:t>
            </w:r>
            <w:proofErr w:type="gramEnd"/>
            <w:r w:rsidRPr="0093038C">
              <w:rPr>
                <w:rFonts w:ascii="方正黑体_GBK" w:eastAsia="方正黑体_GBK" w:hAnsi="宋体" w:cs="宋体" w:hint="eastAsia"/>
                <w:b/>
              </w:rPr>
              <w:t>工作日的产品单位净值</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（赎回金额按去尾法保留两位小数）</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产品的浮动管理费、超额业绩报酬等费用（如有）将从赎回金额中扣除。</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color w:val="000000"/>
              </w:rPr>
              <w:t>到期兑付金额=到期时持有份额×P。 P为期末理财产品单位净值。（已扣除相关费用，到期兑付金额以去尾法保留两位小数）</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color w:val="000000"/>
                <w:kern w:val="0"/>
              </w:rPr>
              <w:t>份额运作周期</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hAnsi="宋体" w:cs="宋体"/>
                <w:b/>
                <w:bCs/>
              </w:rPr>
            </w:pPr>
            <w:r w:rsidRPr="0093038C">
              <w:rPr>
                <w:rFonts w:ascii="方正黑体_GBK" w:eastAsia="方正黑体_GBK" w:hAnsi="宋体" w:cs="宋体" w:hint="eastAsia"/>
                <w:b/>
                <w:bCs/>
              </w:rPr>
              <w:t>每笔份额的运作周期为该份额的运作起始日（含）至自动赎回日（不含），即计算至自动赎回日前</w:t>
            </w:r>
            <w:proofErr w:type="gramStart"/>
            <w:r w:rsidRPr="0093038C">
              <w:rPr>
                <w:rFonts w:ascii="方正黑体_GBK" w:eastAsia="方正黑体_GBK" w:hAnsi="宋体" w:cs="宋体" w:hint="eastAsia"/>
                <w:b/>
                <w:bCs/>
              </w:rPr>
              <w:t>一</w:t>
            </w:r>
            <w:proofErr w:type="gramEnd"/>
            <w:r w:rsidRPr="0093038C">
              <w:rPr>
                <w:rFonts w:ascii="方正黑体_GBK" w:eastAsia="方正黑体_GBK" w:hAnsi="宋体" w:cs="宋体" w:hint="eastAsia"/>
                <w:b/>
                <w:bCs/>
              </w:rPr>
              <w:t>工作日。</w:t>
            </w:r>
          </w:p>
          <w:p w:rsidR="00D74678" w:rsidRPr="0093038C" w:rsidRDefault="005D5CC8">
            <w:pPr>
              <w:spacing w:line="200" w:lineRule="exact"/>
              <w:rPr>
                <w:rFonts w:ascii="方正黑体_GBK" w:eastAsia="方正黑体_GBK" w:hAnsi="宋体" w:cs="宋体"/>
                <w:b/>
                <w:bCs/>
              </w:rPr>
            </w:pPr>
            <w:r w:rsidRPr="0093038C">
              <w:rPr>
                <w:rFonts w:ascii="方正黑体_GBK" w:eastAsia="方正黑体_GBK" w:hAnsi="宋体" w:cs="宋体" w:hint="eastAsia"/>
                <w:b/>
                <w:bCs/>
              </w:rPr>
              <w:t>客户每笔份额的实际持有天数为该份额的运作起始日（含）至自动赎回日（不含）之间的天数，即实际持有天数=自动赎回日前</w:t>
            </w:r>
            <w:proofErr w:type="gramStart"/>
            <w:r w:rsidRPr="0093038C">
              <w:rPr>
                <w:rFonts w:ascii="方正黑体_GBK" w:eastAsia="方正黑体_GBK" w:hAnsi="宋体" w:cs="宋体" w:hint="eastAsia"/>
                <w:b/>
                <w:bCs/>
              </w:rPr>
              <w:t>一</w:t>
            </w:r>
            <w:proofErr w:type="gramEnd"/>
            <w:r w:rsidRPr="0093038C">
              <w:rPr>
                <w:rFonts w:ascii="方正黑体_GBK" w:eastAsia="方正黑体_GBK" w:hAnsi="宋体" w:cs="宋体" w:hint="eastAsia"/>
                <w:b/>
                <w:bCs/>
              </w:rPr>
              <w:t>工作日-运作起始日+1。</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bCs/>
              </w:rPr>
              <w:t>本理财产品的份额运作周期/客户份额实际持有天数为182天（如遇节假日，客户份额实际持有天数可能将延长，具体以公告为准）。</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当理财产品单位净值不低于1时，管理人可以根据实际情况进行收益分配，分配方式为现金分红，具体分配方案以信息披露为准（分配后理财产品净值不低于1）。</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产品到期后，理财产品管理人和代销机构将根据理财资金所投资资产实际运作情况向投资者分配到期款项。</w:t>
            </w:r>
          </w:p>
        </w:tc>
      </w:tr>
      <w:tr w:rsidR="00D74678" w:rsidRPr="0093038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理财份额赎回退出时，赎回金额将于自动赎回日后5个工作日内划入销售文件约定的投资者授权指定账户，自动赎回日至资金到账日之间，投资者资金不计息。</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如</w:t>
            </w:r>
            <w:proofErr w:type="gramStart"/>
            <w:r w:rsidRPr="0093038C">
              <w:rPr>
                <w:rFonts w:ascii="方正黑体_GBK" w:eastAsia="方正黑体_GBK" w:hAnsi="宋体" w:cs="宋体" w:hint="eastAsia"/>
              </w:rPr>
              <w:t>遇产品</w:t>
            </w:r>
            <w:proofErr w:type="gramEnd"/>
            <w:r w:rsidRPr="0093038C">
              <w:rPr>
                <w:rFonts w:ascii="方正黑体_GBK" w:eastAsia="方正黑体_GBK" w:hAnsi="宋体" w:cs="宋体" w:hint="eastAsia"/>
              </w:rPr>
              <w:t>终止，终止日后5个工作日内管理人将投资者持有份额对应的理财资金金额一次性划转至投资者授权指定账户，终止日至资金到账日之间，投资者资金不计息。</w:t>
            </w:r>
          </w:p>
        </w:tc>
      </w:tr>
      <w:tr w:rsidR="00D74678" w:rsidRPr="0093038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本理财产品募集的资金投资于以下金融资产和金融工具，包括但不限于：</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1.现金、银行存款、银行承兑汇票、同业存款、大额存单、同业存单、债券回购、货币基金等货币市场工具；</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2.国债、央票、企业债、金融债、政策性金融债、次级债、二级资本债、永续债、资产支持证券、资产支持票据、地方政府债、中期票据、超短期融资</w:t>
            </w:r>
            <w:proofErr w:type="gramStart"/>
            <w:r w:rsidRPr="0093038C">
              <w:rPr>
                <w:rFonts w:ascii="方正黑体_GBK" w:eastAsia="方正黑体_GBK" w:hAnsi="宋体" w:cs="宋体" w:hint="eastAsia"/>
              </w:rPr>
              <w:t>券</w:t>
            </w:r>
            <w:proofErr w:type="gramEnd"/>
            <w:r w:rsidRPr="0093038C">
              <w:rPr>
                <w:rFonts w:ascii="方正黑体_GBK" w:eastAsia="方正黑体_GBK" w:hAnsi="宋体" w:cs="宋体" w:hint="eastAsia"/>
              </w:rPr>
              <w:t>、短期融资</w:t>
            </w:r>
            <w:proofErr w:type="gramStart"/>
            <w:r w:rsidRPr="0093038C">
              <w:rPr>
                <w:rFonts w:ascii="方正黑体_GBK" w:eastAsia="方正黑体_GBK" w:hAnsi="宋体" w:cs="宋体" w:hint="eastAsia"/>
              </w:rPr>
              <w:t>券</w:t>
            </w:r>
            <w:proofErr w:type="gramEnd"/>
            <w:r w:rsidRPr="0093038C">
              <w:rPr>
                <w:rFonts w:ascii="方正黑体_GBK" w:eastAsia="方正黑体_GBK" w:hAnsi="宋体" w:cs="宋体" w:hint="eastAsia"/>
              </w:rPr>
              <w:t>、公司债、可转债、可交债、非公开定向债务融资工具(PPN)、公募债券型证券投资基金等标准化债权类资产；</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3.投资范围为上述资产的信托计划、资产管理计划等资产管理产品；</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4.法律法规或监管机构允许投资的符合本理财产品投资性质的其他金融工具；</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5.如存在法律法规或监管机构以后允许投资的其他品种或法律法规或监管政策出现调整，管理人在履行本理财产品销售文件规定的适当程序后，有权调整以上品种。</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本理财产品投资于固定收益类资产的比例不低于80%。</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注：非因管理人主观因素导致突破上述比例限制的，管理人将在流动性受限资产可出售、可转让或者恢复交易的15个交易日内将投资比</w:t>
            </w:r>
            <w:r w:rsidRPr="0093038C">
              <w:rPr>
                <w:rFonts w:ascii="方正黑体_GBK" w:eastAsia="方正黑体_GBK" w:hAnsi="宋体" w:cs="宋体" w:hint="eastAsia"/>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在公司搭建的涵盖宏观经济、利率和信用的全面研究分析框架内，借助投资、研究和交易的良好互动的投</w:t>
            </w:r>
            <w:proofErr w:type="gramStart"/>
            <w:r w:rsidRPr="0093038C">
              <w:rPr>
                <w:rFonts w:ascii="方正黑体_GBK" w:eastAsia="方正黑体_GBK" w:hAnsi="宋体" w:cs="宋体" w:hint="eastAsia"/>
              </w:rPr>
              <w:t>研</w:t>
            </w:r>
            <w:proofErr w:type="gramEnd"/>
            <w:r w:rsidRPr="0093038C">
              <w:rPr>
                <w:rFonts w:ascii="方正黑体_GBK" w:eastAsia="方正黑体_GBK" w:hAnsi="宋体" w:cs="宋体" w:hint="eastAsia"/>
              </w:rPr>
              <w:t>体系，重点挖掘货币市场和债券市场资产的投资价值，在安全性和流动性基础上，综合研究负债现金流特征和货币市场资产利率走势，力争获取稳定的收益。</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bCs/>
                <w:kern w:val="0"/>
              </w:rPr>
              <w:t>业绩比较基准（R）</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A份额：业绩比较基准为</w:t>
            </w:r>
            <w:r w:rsidR="00931351" w:rsidRPr="0093038C">
              <w:rPr>
                <w:rFonts w:ascii="方正黑体_GBK" w:eastAsia="方正黑体_GBK" w:hAnsi="宋体" w:cs="宋体" w:hint="eastAsia"/>
              </w:rPr>
              <w:t>2.</w:t>
            </w:r>
            <w:r w:rsidR="00D54453" w:rsidRPr="0093038C">
              <w:rPr>
                <w:rFonts w:ascii="方正黑体_GBK" w:eastAsia="方正黑体_GBK" w:hAnsi="宋体" w:cs="宋体" w:hint="eastAsia"/>
              </w:rPr>
              <w:t>6</w:t>
            </w:r>
            <w:r w:rsidRPr="0093038C">
              <w:rPr>
                <w:rFonts w:ascii="方正黑体_GBK" w:eastAsia="方正黑体_GBK" w:hAnsi="宋体" w:cs="宋体" w:hint="eastAsia"/>
              </w:rPr>
              <w:t>%(</w:t>
            </w:r>
            <w:proofErr w:type="gramStart"/>
            <w:r w:rsidRPr="0093038C">
              <w:rPr>
                <w:rFonts w:ascii="方正黑体_GBK" w:eastAsia="方正黑体_GBK" w:hAnsi="宋体" w:cs="宋体" w:hint="eastAsia"/>
              </w:rPr>
              <w:t>年化</w:t>
            </w:r>
            <w:proofErr w:type="gramEnd"/>
            <w:r w:rsidRPr="0093038C">
              <w:rPr>
                <w:rFonts w:ascii="方正黑体_GBK" w:eastAsia="方正黑体_GBK" w:hAnsi="宋体" w:cs="宋体" w:hint="eastAsia"/>
              </w:rPr>
              <w:t>)。</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本理财产品业绩比较基准是管理人基于过往投资经验、对产品</w:t>
            </w:r>
            <w:proofErr w:type="gramStart"/>
            <w:r w:rsidRPr="0093038C">
              <w:rPr>
                <w:rFonts w:ascii="方正黑体_GBK" w:eastAsia="方正黑体_GBK" w:hAnsi="宋体" w:cs="宋体" w:hint="eastAsia"/>
              </w:rPr>
              <w:t>存续期拟投资</w:t>
            </w:r>
            <w:proofErr w:type="gramEnd"/>
            <w:r w:rsidRPr="0093038C">
              <w:rPr>
                <w:rFonts w:ascii="方正黑体_GBK" w:eastAsia="方正黑体_GBK" w:hAnsi="宋体" w:cs="宋体" w:hint="eastAsia"/>
              </w:rPr>
              <w:t>标的和相应投资市场波动的预判设定的投资目标。本理财产品投资于固定收益类资产的比例不低于80%。结合货币市场和债券市场的收益和波动水平预判，在本理财产品约定的投资策略基础上，管理人设定了本理财产品投资周期内的业绩比较基准。</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注：管理人可根据市场情况对业绩比较基准进行适当调整，如有调整，将至少于调整前3个工作日公布调整方案。</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本理财产品为净值型理财产品，业绩比较基准不是预期收益率，不代表产品的未来表现和实际收益，不构成对产品收益的承诺。</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bCs/>
                <w:kern w:val="0"/>
              </w:rPr>
            </w:pPr>
            <w:r w:rsidRPr="0093038C">
              <w:rPr>
                <w:rFonts w:ascii="方正黑体_GBK" w:eastAsia="方正黑体_GBK" w:hint="eastAsia"/>
                <w:kern w:val="0"/>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认/申购费：本理财产品暂不收取认/申购费。</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赎回费：本理财产品暂不收取赎回费。</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销售费：本理财产品按前一日理财产品资产净值</w:t>
            </w:r>
            <w:proofErr w:type="gramStart"/>
            <w:r w:rsidRPr="0093038C">
              <w:rPr>
                <w:rFonts w:ascii="方正黑体_GBK" w:eastAsia="方正黑体_GBK" w:hAnsi="宋体" w:cs="宋体" w:hint="eastAsia"/>
                <w:b/>
              </w:rPr>
              <w:t>收取年化</w:t>
            </w:r>
            <w:proofErr w:type="gramEnd"/>
            <w:r w:rsidRPr="0093038C">
              <w:rPr>
                <w:rFonts w:ascii="方正黑体_GBK" w:eastAsia="方正黑体_GBK" w:hAnsi="宋体" w:cs="宋体" w:hint="eastAsia"/>
                <w:b/>
              </w:rPr>
              <w:t>0.2%的销售费，按日计提。</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每日计提的销售费=前一日理财产品资产净值×</w:t>
            </w:r>
            <w:proofErr w:type="gramStart"/>
            <w:r w:rsidRPr="0093038C">
              <w:rPr>
                <w:rFonts w:ascii="方正黑体_GBK" w:eastAsia="方正黑体_GBK" w:hAnsi="宋体" w:cs="宋体" w:hint="eastAsia"/>
                <w:b/>
              </w:rPr>
              <w:t>年化销售</w:t>
            </w:r>
            <w:proofErr w:type="gramEnd"/>
            <w:r w:rsidRPr="0093038C">
              <w:rPr>
                <w:rFonts w:ascii="方正黑体_GBK" w:eastAsia="方正黑体_GBK" w:hAnsi="宋体" w:cs="宋体" w:hint="eastAsia"/>
                <w:b/>
              </w:rPr>
              <w:t>费率÷365</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固定管理费：本理财产品按前一日理财产品资产净值</w:t>
            </w:r>
            <w:proofErr w:type="gramStart"/>
            <w:r w:rsidRPr="0093038C">
              <w:rPr>
                <w:rFonts w:ascii="方正黑体_GBK" w:eastAsia="方正黑体_GBK" w:hAnsi="宋体" w:cs="宋体" w:hint="eastAsia"/>
                <w:b/>
              </w:rPr>
              <w:t>收取年化</w:t>
            </w:r>
            <w:proofErr w:type="gramEnd"/>
            <w:r w:rsidRPr="0093038C">
              <w:rPr>
                <w:rFonts w:ascii="方正黑体_GBK" w:eastAsia="方正黑体_GBK" w:hAnsi="宋体" w:cs="宋体" w:hint="eastAsia"/>
                <w:b/>
              </w:rPr>
              <w:t>0.5%的固定管理费，按日计提。</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每日计提的固定管理费=前一日理财产品资产净值×</w:t>
            </w:r>
            <w:proofErr w:type="gramStart"/>
            <w:r w:rsidRPr="0093038C">
              <w:rPr>
                <w:rFonts w:ascii="方正黑体_GBK" w:eastAsia="方正黑体_GBK" w:hAnsi="宋体" w:cs="宋体" w:hint="eastAsia"/>
                <w:b/>
              </w:rPr>
              <w:t>年化固定</w:t>
            </w:r>
            <w:proofErr w:type="gramEnd"/>
            <w:r w:rsidRPr="0093038C">
              <w:rPr>
                <w:rFonts w:ascii="方正黑体_GBK" w:eastAsia="方正黑体_GBK" w:hAnsi="宋体" w:cs="宋体" w:hint="eastAsia"/>
                <w:b/>
              </w:rPr>
              <w:t>管理费率÷365</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托管费：本理财产品按前一日理财产品资产净值</w:t>
            </w:r>
            <w:proofErr w:type="gramStart"/>
            <w:r w:rsidRPr="0093038C">
              <w:rPr>
                <w:rFonts w:ascii="方正黑体_GBK" w:eastAsia="方正黑体_GBK" w:hAnsi="宋体" w:cs="宋体" w:hint="eastAsia"/>
                <w:b/>
              </w:rPr>
              <w:t>收取年化</w:t>
            </w:r>
            <w:proofErr w:type="gramEnd"/>
            <w:r w:rsidRPr="0093038C">
              <w:rPr>
                <w:rFonts w:ascii="方正黑体_GBK" w:eastAsia="方正黑体_GBK" w:hAnsi="宋体" w:cs="宋体" w:hint="eastAsia"/>
                <w:b/>
              </w:rPr>
              <w:t>0.02%的托管费，按日计提。</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rPr>
              <w:t>每日计提的托管费=前一日理财产品资产净值×</w:t>
            </w:r>
            <w:proofErr w:type="gramStart"/>
            <w:r w:rsidRPr="0093038C">
              <w:rPr>
                <w:rFonts w:ascii="方正黑体_GBK" w:eastAsia="方正黑体_GBK" w:hAnsi="宋体" w:cs="宋体" w:hint="eastAsia"/>
                <w:b/>
              </w:rPr>
              <w:t>年化托管</w:t>
            </w:r>
            <w:proofErr w:type="gramEnd"/>
            <w:r w:rsidRPr="0093038C">
              <w:rPr>
                <w:rFonts w:ascii="方正黑体_GBK" w:eastAsia="方正黑体_GBK" w:hAnsi="宋体" w:cs="宋体" w:hint="eastAsia"/>
                <w:b/>
              </w:rPr>
              <w:t>费率÷365</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业绩报酬：在客户份额持有期间净值增长率（r）超过业绩比较基准（R）及浮动管理费（F）之和的部分，管理人收取 20%业绩报酬，详见下文“浮动管理费”中情形1。</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浮动管理费（F）：1.5%/年，浮动管理费的收取需要视客户份额持有期间净值增长率（r）以及认申购份额确认日的业绩比较基准（R）而定，在客户份额赎回时根据实际情况支取。</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客户份额持有期间净值增长率（r)依据运作起始日前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工作日的产品单位净值、自动赎回日前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工作日的产品单位净值、客户份额实际持有天数折算</w:t>
            </w:r>
            <w:proofErr w:type="gramStart"/>
            <w:r w:rsidRPr="0093038C">
              <w:rPr>
                <w:rFonts w:ascii="方正黑体_GBK" w:eastAsia="方正黑体_GBK" w:hAnsi="宋体" w:cs="宋体" w:hint="eastAsia"/>
                <w:b/>
                <w:color w:val="000000"/>
              </w:rPr>
              <w:t>为年化收益率</w:t>
            </w:r>
            <w:proofErr w:type="gramEnd"/>
            <w:r w:rsidRPr="0093038C">
              <w:rPr>
                <w:rFonts w:ascii="方正黑体_GBK" w:eastAsia="方正黑体_GBK" w:hAnsi="宋体" w:cs="宋体" w:hint="eastAsia"/>
                <w:b/>
                <w:color w:val="000000"/>
              </w:rPr>
              <w:t>（1年按365天计算）。计算公式如下：客户份额持有期间净值增长率（r）=（自动赎回日前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工作日的产品单位净值÷运作起始日前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工作日的产品单位净值-1）÷客户份额实际持有天数×365天。</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存在以下四种情形：</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情形1：客户份额持有期间净值增长率（r）&gt;业绩比较基准（R）+浮动管理费（F），则管理人实际收取浮动管理费率为F，并收取（r-R-F)*20%作为业绩报酬，客户的实际收益率为R+（r-R-F)*80%。</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情形2：业绩比较基准（R）≤客户份额持有期间净值增长率（r）≤业绩比较基准（R）+浮动管理费（F），则管理人实际收取浮动管理费率为r-R，客户的实际收益率为R。</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情形3：0</w:t>
            </w:r>
            <w:proofErr w:type="gramStart"/>
            <w:r w:rsidRPr="0093038C">
              <w:rPr>
                <w:rFonts w:ascii="方正黑体_GBK" w:eastAsia="方正黑体_GBK" w:hAnsi="宋体" w:cs="宋体" w:hint="eastAsia"/>
                <w:b/>
                <w:color w:val="000000"/>
              </w:rPr>
              <w:t>〈</w:t>
            </w:r>
            <w:proofErr w:type="gramEnd"/>
            <w:r w:rsidRPr="0093038C">
              <w:rPr>
                <w:rFonts w:ascii="方正黑体_GBK" w:eastAsia="方正黑体_GBK" w:hAnsi="宋体" w:cs="宋体" w:hint="eastAsia"/>
                <w:b/>
                <w:color w:val="000000"/>
              </w:rPr>
              <w:t>客户份额持有期间净值增长率（r）</w:t>
            </w:r>
            <w:proofErr w:type="gramStart"/>
            <w:r w:rsidRPr="0093038C">
              <w:rPr>
                <w:rFonts w:ascii="方正黑体_GBK" w:eastAsia="方正黑体_GBK" w:hAnsi="宋体" w:cs="宋体" w:hint="eastAsia"/>
                <w:b/>
                <w:color w:val="000000"/>
              </w:rPr>
              <w:t>〈</w:t>
            </w:r>
            <w:proofErr w:type="gramEnd"/>
            <w:r w:rsidRPr="0093038C">
              <w:rPr>
                <w:rFonts w:ascii="方正黑体_GBK" w:eastAsia="方正黑体_GBK" w:hAnsi="宋体" w:cs="宋体" w:hint="eastAsia"/>
                <w:b/>
                <w:color w:val="000000"/>
              </w:rPr>
              <w:t>业绩比较基准（R），则客户按自动赎回日前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工作日的产品单位净值兑付，客户实际收益为r，管理人无浮动管理费。</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b/>
                <w:color w:val="000000"/>
              </w:rPr>
              <w:t>情形4：客户份额持有期间净值增长率（r）</w:t>
            </w:r>
            <w:proofErr w:type="gramStart"/>
            <w:r w:rsidRPr="0093038C">
              <w:rPr>
                <w:rFonts w:ascii="方正黑体_GBK" w:eastAsia="方正黑体_GBK" w:hAnsi="宋体" w:cs="宋体" w:hint="eastAsia"/>
                <w:b/>
                <w:color w:val="000000"/>
              </w:rPr>
              <w:t>〈</w:t>
            </w:r>
            <w:proofErr w:type="gramEnd"/>
            <w:r w:rsidRPr="0093038C">
              <w:rPr>
                <w:rFonts w:ascii="方正黑体_GBK" w:eastAsia="方正黑体_GBK" w:hAnsi="宋体" w:cs="宋体" w:hint="eastAsia"/>
                <w:b/>
                <w:color w:val="000000"/>
              </w:rPr>
              <w:t>0，则客户按自动赎回日前</w:t>
            </w:r>
            <w:proofErr w:type="gramStart"/>
            <w:r w:rsidRPr="0093038C">
              <w:rPr>
                <w:rFonts w:ascii="方正黑体_GBK" w:eastAsia="方正黑体_GBK" w:hAnsi="宋体" w:cs="宋体" w:hint="eastAsia"/>
                <w:b/>
                <w:color w:val="000000"/>
              </w:rPr>
              <w:t>一</w:t>
            </w:r>
            <w:proofErr w:type="gramEnd"/>
            <w:r w:rsidRPr="0093038C">
              <w:rPr>
                <w:rFonts w:ascii="方正黑体_GBK" w:eastAsia="方正黑体_GBK" w:hAnsi="宋体" w:cs="宋体" w:hint="eastAsia"/>
                <w:b/>
                <w:color w:val="000000"/>
              </w:rPr>
              <w:t>工作日的产品单位净值兑付，客户投资本金发生亏损，无收益，管理人无浮动管理费，在最不利于情形下，客户可能损失全部本金。</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b/>
                <w:color w:val="000000"/>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D74678" w:rsidRPr="0093038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具体参见本理财产品风险揭示书。</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一是建仓或进行组合调整时，若投资资产包括债券或基金，可能由于特定债券或基金的流动性相对不足而无法按预期的价格买进（申购）或卖出（赎回）；</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二是为应对投资者的赎回，被迫以不适当的价格卖出债券或赎回基金；</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三是若投资资产包括非标准化债权类资产，可能由于资产缺少流动性而难以变现。</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lastRenderedPageBreak/>
              <w:t>以上情形均可能使产品净值受到不利影响。</w:t>
            </w:r>
          </w:p>
        </w:tc>
      </w:tr>
      <w:tr w:rsidR="00D74678" w:rsidRPr="0093038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本理财产品管理人为南银理财有限责任公司，南银理财系南京银行股份有限公司全资控股的银行理财子公司。南银理财成立于2020年8月，专业从事理财产品发行、投资管理、理财顾问和咨询服务等业务，注册资本金20亿元人民币。管理人主要职责如下：</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1.按照法律法规、监管规定及理财产品销售文件的约定，发行并管理理财产品；</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2.根据理财产品的投资组合、同类产品过往业绩和风险状况等因素，对理财产品进行评级；</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3.按照法律法规、监管规定及与投资者约定的信息披露渠道及时披露理财产品相关信息；</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4.按照理财产品销售文件约定的投资范围和权限，负责理财产品资金的运用和管理，向投资者进行收益分配；</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5.审慎选择理财产品销售机构，切实履行对销售机构的管理责任；</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6.根据法律法规、监管规定建立健全投资者权益保护管理体系；</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7.国务院银行业监督管理机构规定及本理财产品销售文件中约定的其他职责。</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本理财产品销售机构为南银理财有限责任公司、南京银行股份有限公司。管理人有权调整本理财产品的销售机构并进行信息披露。</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销售机构主要职责如下：</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1.按照法律法规、监管规定及理财产品销售文件的约定，开展理财产品销售活动，向投资者充分披露信息和揭示风险；</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2.对</w:t>
            </w:r>
            <w:proofErr w:type="gramStart"/>
            <w:r w:rsidRPr="0093038C">
              <w:rPr>
                <w:rFonts w:ascii="方正黑体_GBK" w:eastAsia="方正黑体_GBK" w:hAnsi="宋体" w:cs="宋体" w:hint="eastAsia"/>
              </w:rPr>
              <w:t>非机构</w:t>
            </w:r>
            <w:proofErr w:type="gramEnd"/>
            <w:r w:rsidRPr="0093038C">
              <w:rPr>
                <w:rFonts w:ascii="方正黑体_GBK" w:eastAsia="方正黑体_GBK" w:hAnsi="宋体" w:cs="宋体" w:hint="eastAsia"/>
              </w:rPr>
              <w:t>投资者的风险承受能力进行评估，确保投资者风险承受能力评估的客观性、及时性和有效性；</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3.妥善保管投资者理财产品销售相关资料，保管年限不低于20年；</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4.根据反洗钱、反恐怖融资及非居民金融账户涉税信息尽职调查等相关法律法规要求识别客户身份；</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5.建立健全投资者权益保护管理体系，加强投资者适当性管理；</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rPr>
              <w:t>6.国务院银行业监督管理机构规定及本理财产品管理人与销售机构约定的其他职责。</w:t>
            </w:r>
          </w:p>
        </w:tc>
      </w:tr>
      <w:tr w:rsidR="00D74678" w:rsidRPr="0093038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本理财产品托管人为南京银行股份有限公司，主要职责如下：</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1.安全保管理财产品财产；</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2.为每只理财产品开设独立的托管账户，不同托管账户中的资产应当相互独立；</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3.按照托管协议约定和管理人的投资指令，及时办理清算、交割事宜；</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4.建立与管理人的对账机制，复核、审查理财产品资金头寸、资产账目、资产净值、认购和赎回价格等数据，及时核查认购、赎回以及投资资金的支付和到账情况；</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5.监督理财产品投资运作，发现理财产品违反法律、行政法规、规章规定或合同约定进行投资的，应当拒绝执行，及时通知管理人并报告银行业监督管理机构；</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7.理财托管业务活动的记录、账册、报表和其他相关资料保存20年以上；</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8.对理财产品投资信息和相关资料承担保密责任，除法律、行政法规、规章规定、审计要求或者合同约定外，不得向任何机构或者个人提供相关信息和资料；</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9.国务院银行业监督管理机构规定及本理财产品相关托管协议中约定的其他职责。</w:t>
            </w:r>
          </w:p>
        </w:tc>
      </w:tr>
      <w:tr w:rsidR="00D74678" w:rsidRPr="0093038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合作机构为国投泰康信托有限公司、江苏省国际信托有限责任公司、平安资产管理有限责任公司、太平洋资产管理有限责任公司、中国对外经济贸易信托有限公司、中粮信托有限责任公司，上述投资合作机构主要职责对应如下，具体职责以管理人与投资合作机构签署的合同为准。</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1.合作机构为理财产品所投资资产管理产品的发行机构，主要承担资产管理产品的管理人职责：平安资产管理有限责任公司、太平洋资产管理有限责任公司。</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合作机构为从事理财产品受托投资的机构，主要承担根据合同约定进行受托资金的投资管理的职责：国投泰康信托有限公司、江苏省国际信托有限责任公司、中国对外经济贸易信托有限公司、中粮信托有限责任公司。</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若上述合作机构及其职责发生调整，管理人将在本理财产品的定期报告中进行信息披露。</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上述投资合作机构简介：</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国投泰康信托有限公司成立于1986年06月26日，注册资本金267,054.5454万人民币。</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江苏省国际信托有限责任公司成立于1992年06月01日，注册资本金87.60亿元。</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平安资产管理有限责任公司成立于2005年05月27日，注册资本</w:t>
            </w:r>
            <w:r w:rsidRPr="0093038C">
              <w:rPr>
                <w:rFonts w:ascii="方正黑体_GBK" w:eastAsia="方正黑体_GBK" w:hAnsi="宋体" w:cs="宋体" w:hint="eastAsia"/>
              </w:rPr>
              <w:lastRenderedPageBreak/>
              <w:t>金15亿元。</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太平洋资产管理有限责任公司成立于2006年06月09日，注册资本金21亿元。</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中国对外经济贸易信托有限公司成立于1987年09月30日，注册资本金800000万元人民币。</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中粮信托有限责任公司成立于2009年07月27日，注册资本金28.3亿元。</w:t>
            </w:r>
          </w:p>
        </w:tc>
      </w:tr>
      <w:tr w:rsidR="00D74678" w:rsidRPr="0093038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本理财产品单个</w:t>
            </w:r>
            <w:proofErr w:type="gramStart"/>
            <w:r w:rsidRPr="0093038C">
              <w:rPr>
                <w:rFonts w:ascii="方正黑体_GBK" w:eastAsia="方正黑体_GBK" w:hAnsi="宋体" w:cs="宋体" w:hint="eastAsia"/>
              </w:rPr>
              <w:t>开放日净赎回</w:t>
            </w:r>
            <w:proofErr w:type="gramEnd"/>
            <w:r w:rsidRPr="0093038C">
              <w:rPr>
                <w:rFonts w:ascii="方正黑体_GBK" w:eastAsia="方正黑体_GBK" w:hAnsi="宋体" w:cs="宋体" w:hint="eastAsia"/>
              </w:rPr>
              <w:t>申请超过前一产品工作日日</w:t>
            </w:r>
            <w:proofErr w:type="gramStart"/>
            <w:r w:rsidRPr="0093038C">
              <w:rPr>
                <w:rFonts w:ascii="方正黑体_GBK" w:eastAsia="方正黑体_GBK" w:hAnsi="宋体" w:cs="宋体" w:hint="eastAsia"/>
              </w:rPr>
              <w:t>终本理财</w:t>
            </w:r>
            <w:proofErr w:type="gramEnd"/>
            <w:r w:rsidRPr="0093038C">
              <w:rPr>
                <w:rFonts w:ascii="方正黑体_GBK" w:eastAsia="方正黑体_GBK" w:hAnsi="宋体" w:cs="宋体" w:hint="eastAsia"/>
              </w:rPr>
              <w:t>产品总份额的10%时，触发巨额赎回，在赎回确认日管理人办理的赎回份额将不低于前一产品工作日日终理财产品总份额的10%。</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本理财产品在开放日发生巨额赎回时，管理人有权根据产品的实际运作情况采取如下措施中的一种：</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并按单个投资者的赎回申请份额占当日所有投资者的净赎回</w:t>
            </w:r>
            <w:proofErr w:type="gramStart"/>
            <w:r w:rsidRPr="0093038C">
              <w:rPr>
                <w:rFonts w:ascii="方正黑体_GBK" w:eastAsia="方正黑体_GBK" w:hAnsi="宋体" w:cs="宋体" w:hint="eastAsia"/>
              </w:rPr>
              <w:t>申请总</w:t>
            </w:r>
            <w:proofErr w:type="gramEnd"/>
            <w:r w:rsidRPr="0093038C">
              <w:rPr>
                <w:rFonts w:ascii="方正黑体_GBK" w:eastAsia="方正黑体_GBK" w:hAnsi="宋体" w:cs="宋体" w:hint="eastAsia"/>
              </w:rPr>
              <w:t>份额的比例，确认该投资者当日办理的赎回申请份额，对于其余赎回申请管理人可暂停接受或延期办理。</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（1）投资者在申请赎回时可选择将当日未获办理部分予以撤销，即暂停接受情形，管理人将拒绝该部分赎回申请，撤销的部分投资者可在下一个产品开放日再次发起赎回申请。</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具体服务投资者可详</w:t>
            </w:r>
            <w:proofErr w:type="gramStart"/>
            <w:r w:rsidRPr="0093038C">
              <w:rPr>
                <w:rFonts w:ascii="方正黑体_GBK" w:eastAsia="方正黑体_GBK" w:hAnsi="宋体" w:cs="宋体" w:hint="eastAsia"/>
              </w:rPr>
              <w:t>询</w:t>
            </w:r>
            <w:proofErr w:type="gramEnd"/>
            <w:r w:rsidRPr="0093038C">
              <w:rPr>
                <w:rFonts w:ascii="方正黑体_GBK" w:eastAsia="方正黑体_GBK" w:hAnsi="宋体" w:cs="宋体" w:hint="eastAsia"/>
              </w:rPr>
              <w:t>代销机构，最终以代销机构提供的服务为准。</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2.接受全额赎回：当管理人认为有能力兑付投资者的全部赎回申请时，将在赎回确认日按正常赎回程序执行。</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本理财产品发生巨额赎回、管理人接受部分赎回时，对于暂停接受和延期办理的部分，管理人可能需在下一个申购或赎回开放日才可确认，可能影响投资者的资金安排。</w:t>
            </w:r>
          </w:p>
        </w:tc>
      </w:tr>
      <w:tr w:rsidR="00D74678" w:rsidRPr="0093038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color w:val="000000"/>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rsidR="00D74678" w:rsidRPr="0093038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发生下列情形时，管理人可暂停接受认申购申请：</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1.因不可抗力导致理财产品无法正常运作；</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2.因监管政策、市场发生重大变化，导致理财产品无法正常运作；</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3.管理人认为需要暂停认申购的其他情形。</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若管理人暂停接受认申购申请，将在3个交易日内告知该理财产品的投资者，并说明运用相关措施的原因、拟采取的应对安排等。在暂停接受认申购申请期间，投资者需重新进行资金安排。</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发生下列情形时，管理人可暂停接受投资者的赎回申请：</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1.因不可抗力导致管理人不能支付赎回款项；</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2.银行间市场或证券交易所交易时间非正常停市，导致管理人无法计算当日理财产品资产净值；</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3.管理人、法律法规规定或监管认定的其他情形。</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若管理人暂停接受赎回申请，将在3个交易日内告知该理财产品的投资者，并说明运用相关措施的原因、拟采取的应对安排等。</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在暂停接受赎回申请期间，投资者将无法获得赎回资金，需重新进行资金安排。</w:t>
            </w:r>
          </w:p>
        </w:tc>
      </w:tr>
      <w:tr w:rsidR="00D74678" w:rsidRPr="0093038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1.管理人在本理财产品存续期间每个运作起始日后1个工作日内公布运作起始日前</w:t>
            </w:r>
            <w:proofErr w:type="gramStart"/>
            <w:r w:rsidRPr="0093038C">
              <w:rPr>
                <w:rFonts w:ascii="方正黑体_GBK" w:eastAsia="方正黑体_GBK" w:hAnsi="宋体" w:cs="宋体" w:hint="eastAsia"/>
                <w:color w:val="000000"/>
              </w:rPr>
              <w:t>一</w:t>
            </w:r>
            <w:proofErr w:type="gramEnd"/>
            <w:r w:rsidRPr="0093038C">
              <w:rPr>
                <w:rFonts w:ascii="方正黑体_GBK" w:eastAsia="方正黑体_GBK" w:hAnsi="宋体" w:cs="宋体" w:hint="eastAsia"/>
                <w:color w:val="000000"/>
              </w:rPr>
              <w:t>工作日的产品单位净值；每个自动赎回日后1个工作日公布自动赎回日前</w:t>
            </w:r>
            <w:proofErr w:type="gramStart"/>
            <w:r w:rsidRPr="0093038C">
              <w:rPr>
                <w:rFonts w:ascii="方正黑体_GBK" w:eastAsia="方正黑体_GBK" w:hAnsi="宋体" w:cs="宋体" w:hint="eastAsia"/>
                <w:color w:val="000000"/>
              </w:rPr>
              <w:t>一</w:t>
            </w:r>
            <w:proofErr w:type="gramEnd"/>
            <w:r w:rsidRPr="0093038C">
              <w:rPr>
                <w:rFonts w:ascii="方正黑体_GBK" w:eastAsia="方正黑体_GBK" w:hAnsi="宋体" w:cs="宋体" w:hint="eastAsia"/>
                <w:color w:val="000000"/>
              </w:rPr>
              <w:t>工作日的产品单位净值。</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2.管理人在本理财产品存续期间按照监管规定进行信息披露，详见本理财产品说明书第五条信息披露。</w:t>
            </w:r>
          </w:p>
          <w:p w:rsidR="00D74678" w:rsidRPr="0093038C" w:rsidRDefault="005D5CC8">
            <w:pPr>
              <w:spacing w:line="200" w:lineRule="exact"/>
              <w:jc w:val="left"/>
              <w:rPr>
                <w:rFonts w:ascii="方正黑体_GBK" w:eastAsia="方正黑体_GBK"/>
              </w:rPr>
            </w:pPr>
            <w:r w:rsidRPr="0093038C">
              <w:rPr>
                <w:rFonts w:ascii="方正黑体_GBK" w:eastAsia="方正黑体_GBK" w:hAnsi="宋体" w:cs="宋体" w:hint="eastAsia"/>
                <w:color w:val="000000"/>
              </w:rPr>
              <w:t>3.本理财产品投资的资产管理产品的业绩报酬、赎回费等的提取（如有）可能造成本理财产品净值的下降。</w:t>
            </w:r>
          </w:p>
        </w:tc>
      </w:tr>
      <w:tr w:rsidR="00D74678" w:rsidRPr="0093038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74678" w:rsidRPr="0093038C" w:rsidRDefault="005D5CC8">
            <w:pPr>
              <w:widowControl/>
              <w:spacing w:line="200" w:lineRule="exact"/>
              <w:jc w:val="left"/>
              <w:rPr>
                <w:rFonts w:ascii="方正黑体_GBK" w:eastAsia="方正黑体_GBK"/>
                <w:kern w:val="0"/>
              </w:rPr>
            </w:pPr>
            <w:r w:rsidRPr="0093038C">
              <w:rPr>
                <w:rFonts w:ascii="方正黑体_GBK" w:eastAsia="方正黑体_GBK" w:hint="eastAsia"/>
                <w:kern w:val="0"/>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74678" w:rsidRPr="0093038C" w:rsidRDefault="005D5CC8">
      <w:pPr>
        <w:rPr>
          <w:rFonts w:ascii="方正黑体_GBK" w:eastAsia="方正黑体_GBK"/>
          <w:b/>
          <w:sz w:val="15"/>
          <w:szCs w:val="15"/>
        </w:rPr>
      </w:pPr>
      <w:r w:rsidRPr="0093038C">
        <w:rPr>
          <w:rFonts w:ascii="方正黑体_GBK" w:eastAsia="方正黑体_GBK" w:hint="eastAsia"/>
          <w:b/>
          <w:sz w:val="15"/>
          <w:szCs w:val="15"/>
        </w:rPr>
        <w:t>特别说明：本理财产品无预期收益率，</w:t>
      </w:r>
      <w:r w:rsidRPr="0093038C">
        <w:rPr>
          <w:rFonts w:ascii="方正黑体_GBK" w:eastAsia="方正黑体_GBK" w:hint="eastAsia"/>
          <w:b/>
          <w:sz w:val="15"/>
          <w:szCs w:val="15"/>
          <w:u w:val="single"/>
        </w:rPr>
        <w:t>理财产品过往业绩不代表其未来表现，不等于理财产品实际收益，</w:t>
      </w:r>
      <w:r w:rsidRPr="0093038C">
        <w:rPr>
          <w:rFonts w:ascii="方正黑体_GBK" w:eastAsia="方正黑体_GBK" w:hint="eastAsia"/>
          <w:b/>
          <w:sz w:val="15"/>
          <w:szCs w:val="15"/>
        </w:rPr>
        <w:t>投资须谨慎。</w:t>
      </w:r>
    </w:p>
    <w:p w:rsidR="00D74678" w:rsidRPr="0093038C" w:rsidRDefault="005D5CC8">
      <w:pPr>
        <w:pStyle w:val="Normalfe74557f"/>
        <w:widowControl/>
        <w:spacing w:line="200" w:lineRule="exact"/>
        <w:outlineLvl w:val="0"/>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第二条  名词释义</w:t>
      </w:r>
    </w:p>
    <w:p w:rsidR="00D74678" w:rsidRPr="0093038C" w:rsidRDefault="005D5CC8">
      <w:pPr>
        <w:pStyle w:val="Normalfe74557f"/>
        <w:widowControl/>
        <w:spacing w:line="200" w:lineRule="exact"/>
        <w:ind w:firstLine="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在本理财产品说明书中，除非上下文另有明确约定，下列用词将具有如下含义：</w:t>
      </w:r>
    </w:p>
    <w:p w:rsidR="00D74678" w:rsidRPr="0093038C" w:rsidRDefault="005D5CC8">
      <w:pPr>
        <w:pStyle w:val="Normalfe74557f"/>
        <w:widowControl/>
        <w:numPr>
          <w:ilvl w:val="0"/>
          <w:numId w:val="1"/>
        </w:numPr>
        <w:spacing w:line="200" w:lineRule="exact"/>
        <w:ind w:left="0" w:firstLine="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参与主体用语</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1.南银理财/管理人/产品管理人/理财产品管理人：指南银理财有限责任公司。</w:t>
      </w:r>
    </w:p>
    <w:p w:rsidR="00D74678" w:rsidRPr="0093038C" w:rsidRDefault="005D5CC8">
      <w:pPr>
        <w:pStyle w:val="Normalfe74557f"/>
        <w:widowControl/>
        <w:tabs>
          <w:tab w:val="left" w:pos="567"/>
        </w:tabs>
        <w:spacing w:line="200" w:lineRule="exact"/>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3.托管人：指根据管理人委托，对理财产品财产进行托管的机构。</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4.认购/申购人：指在募集期/开放期期间签署本理财产品销售文件并向理财产品管理人交付认购/申购资金的投资者。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lastRenderedPageBreak/>
        <w:t xml:space="preserve"> 5.理财产品份额持有人/持有人：指其认购或申购申请，经过管理人确认认购或申购成功，从而持有理财产品份额的投资者。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6.投资者：指购买南银理财发行的相关理财产品的符合相关法律法规及监管要求的个人或机构。</w:t>
      </w:r>
    </w:p>
    <w:p w:rsidR="00D74678" w:rsidRPr="0093038C" w:rsidRDefault="005D5CC8">
      <w:pPr>
        <w:pStyle w:val="Normalfe74557f"/>
        <w:widowControl/>
        <w:numPr>
          <w:ilvl w:val="0"/>
          <w:numId w:val="1"/>
        </w:numPr>
        <w:spacing w:line="200" w:lineRule="exact"/>
        <w:ind w:left="0" w:firstLine="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法律文件用语</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1.销售协议书：指本理财产品对应的《理财产品销售协议书》以及对该文件的有效修改或补充。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2.产品说明书/本理财产品说明书：指本《理财产品说明书》以及对该文件的有效修改或补充。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3.风险揭示书：指本理财产品对应的《理财产品风险揭示书》以及对该文件的有效修改或补充。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4.投资者权益须知：指本理财产品对应的《投资者权益须知》以及对该文件的有效修改或补充。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5.投资协议书：指本理财产品对应的《理财产品投资协议书》以及对该文件的有效修改或补充。</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6.销售文件：指本理财产品对应的产品说明书、风险揭示书、投资者权益须知、销售协议书、投资协议书等。</w:t>
      </w:r>
      <w:r w:rsidRPr="0093038C">
        <w:rPr>
          <w:rFonts w:ascii="方正黑体_GBK" w:eastAsia="方正黑体_GBK" w:hint="eastAsia"/>
          <w:bCs/>
          <w:color w:val="3D3D3D"/>
          <w:kern w:val="0"/>
          <w:sz w:val="15"/>
          <w:szCs w:val="15"/>
        </w:rPr>
        <w:t>上述文件共同构成本理财产品完整且不可分割的销售文件。</w:t>
      </w:r>
    </w:p>
    <w:p w:rsidR="00D74678" w:rsidRPr="0093038C" w:rsidRDefault="005D5CC8">
      <w:pPr>
        <w:pStyle w:val="Normalfe74557f"/>
        <w:widowControl/>
        <w:numPr>
          <w:ilvl w:val="0"/>
          <w:numId w:val="1"/>
        </w:numPr>
        <w:spacing w:line="200" w:lineRule="exact"/>
        <w:ind w:left="0" w:firstLine="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期间与日期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1.募集期：指管理人确定的接受投资者认购本理财产品的起止期限。</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2.开放期：指管理人确定的除募集期外接受投资者申购、赎回本理财产品的起止期限。</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3.提前终止权行使日：指管理人行使提前终止权的日期，即本理财产品被提前终止、开始停止计算收益的日期。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5.认购、申购、赎回确认日：指投资者认购、申购、赎回理财产品最终确认日期。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7.产品存续期：指理财产品成立至终止的期间。</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8.名义到期日：指在管理人未对本理财产品提前终止或延期终止的情况下本理财产品的到期日期。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10.工作日：指除国家法定节假日和休息日（包括周六、周日）外的日期。</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11.交易日：指上海证券交易所和深圳证券交易所的正常开盘交易日。</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12.支付日：指根据本理财产品说明书约定向销售文件约定的投资者授权指定账户划付理财产品资金之日。</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13.赎回或到期清算分配资金到账日：指赎回或到期清算分配资金划入销售文件约定的投资者授权指定账户之日。</w:t>
      </w:r>
    </w:p>
    <w:p w:rsidR="00D74678" w:rsidRPr="0093038C" w:rsidRDefault="005D5CC8">
      <w:pPr>
        <w:pStyle w:val="Normalfe74557f"/>
        <w:widowControl/>
        <w:numPr>
          <w:ilvl w:val="0"/>
          <w:numId w:val="1"/>
        </w:numPr>
        <w:spacing w:line="200" w:lineRule="exact"/>
        <w:ind w:left="0" w:firstLine="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理财产品用语</w:t>
      </w:r>
    </w:p>
    <w:p w:rsidR="00D74678" w:rsidRPr="0093038C" w:rsidRDefault="005D5CC8">
      <w:pPr>
        <w:pStyle w:val="Normalfe74557f"/>
        <w:widowControl/>
        <w:tabs>
          <w:tab w:val="left" w:pos="567"/>
        </w:tabs>
        <w:spacing w:line="200" w:lineRule="exact"/>
        <w:ind w:left="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1.本理财产品/理财产品： </w:t>
      </w:r>
      <w:r w:rsidRPr="0093038C">
        <w:rPr>
          <w:rFonts w:ascii="方正黑体_GBK" w:eastAsia="方正黑体_GBK" w:hint="eastAsia"/>
          <w:b/>
          <w:bCs/>
          <w:color w:val="3D3D3D"/>
          <w:kern w:val="0"/>
          <w:sz w:val="15"/>
          <w:szCs w:val="15"/>
        </w:rPr>
        <w:t>南银</w:t>
      </w:r>
      <w:proofErr w:type="gramStart"/>
      <w:r w:rsidRPr="0093038C">
        <w:rPr>
          <w:rFonts w:ascii="方正黑体_GBK" w:eastAsia="方正黑体_GBK" w:hint="eastAsia"/>
          <w:b/>
          <w:bCs/>
          <w:color w:val="3D3D3D"/>
          <w:kern w:val="0"/>
          <w:sz w:val="15"/>
          <w:szCs w:val="15"/>
        </w:rPr>
        <w:t>理财鼎瑞安稳</w:t>
      </w:r>
      <w:proofErr w:type="gramEnd"/>
      <w:r w:rsidRPr="0093038C">
        <w:rPr>
          <w:rFonts w:ascii="方正黑体_GBK" w:eastAsia="方正黑体_GBK" w:hint="eastAsia"/>
          <w:b/>
          <w:bCs/>
          <w:color w:val="3D3D3D"/>
          <w:kern w:val="0"/>
          <w:sz w:val="15"/>
          <w:szCs w:val="15"/>
        </w:rPr>
        <w:t>182天周期型1号开放式公募人民币理财产品</w:t>
      </w:r>
      <w:r w:rsidRPr="0093038C">
        <w:rPr>
          <w:rFonts w:ascii="方正黑体_GBK" w:eastAsia="方正黑体_GBK" w:hint="eastAsia"/>
          <w:color w:val="3D3D3D"/>
          <w:kern w:val="0"/>
          <w:sz w:val="15"/>
          <w:szCs w:val="15"/>
        </w:rPr>
        <w:t>。</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6.单位净值/产品每份额净值：指理财产品每单位份额的净值，即每1份理财产品份额以人民币计价的价格。</w:t>
      </w:r>
      <w:r w:rsidRPr="0093038C">
        <w:rPr>
          <w:rFonts w:ascii="方正黑体_GBK" w:eastAsia="方正黑体_GBK" w:hint="eastAsia"/>
          <w:bCs/>
          <w:color w:val="3D3D3D"/>
          <w:kern w:val="0"/>
          <w:sz w:val="15"/>
          <w:szCs w:val="15"/>
        </w:rPr>
        <w:t>产品份额净值=产品资产净值/产品总份额。投资者按该份额净值进行理财产品认购、申购和赎回、获得到期/终止时分配。产品份额净值按去尾法保留6位小数。</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7.理财产品估值/估值：指计算评估理财产品资产以确定理财产品份额单位净值的过程。</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8.业绩比较基准：指管理人基于产品性质、投资策略、过往投资经验及对产品存续期投资市场波动的预判而对本理财产品所设定的投资目标，业绩比较基准不代表本理财产品的未来表现和实际收益，不构成管理人对本理财产品收益的承诺。</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9.认购：指投资者根据产品说明书约定在募集期内申请购买本理财产品的理财产品份额的行为。</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10.申购、赎回申请：指在理财产品的开放期内，投资者向理财产品管理人提出申请对理财产品份额进行购买或卖出的行为。</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11.提前终止/延期终止权：指在本理财产品存续期内，管理人单方面根据本理财产品销售文件的约定提前终止/延期终止本理财产品的权利。</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12.授权指定账户：指投资者用于支付理财产品的认购或申购资金，并用于接收理财产品分红或赎回或到期清算分配款项的银行账户。</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13.固定收益类理财产品：指投资于存款、债券等债权类资产的比例不低于80%的理财产品。</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14.权益类理财产品：指投资于权益类资产的比例不低于80%的理财产品。</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15.商品及金融衍生品类理财产品：指投资于商品及金融衍生品的比例不低于80%的理财产品。</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16.混合类理财产品：指投资于债权类资产、权益类资产、商品及金融衍生品类资产且任一资产的投资比例均未达到80%的理财产品。</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17.公募理财产品：指面向不特定社会公众公开发行的理财产品。</w:t>
      </w:r>
    </w:p>
    <w:p w:rsidR="00D74678" w:rsidRPr="0093038C" w:rsidRDefault="005D5CC8">
      <w:pPr>
        <w:pStyle w:val="Normalfe74557f"/>
        <w:widowControl/>
        <w:tabs>
          <w:tab w:val="left" w:pos="567"/>
        </w:tabs>
        <w:spacing w:line="200" w:lineRule="exact"/>
        <w:ind w:left="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18.私募理财产品：指面向合格投资者非公开发行的理财产品。</w:t>
      </w:r>
    </w:p>
    <w:p w:rsidR="00D74678" w:rsidRPr="0093038C" w:rsidRDefault="005D5CC8">
      <w:pPr>
        <w:pStyle w:val="Normalfe74557f"/>
        <w:widowControl/>
        <w:numPr>
          <w:ilvl w:val="0"/>
          <w:numId w:val="1"/>
        </w:numPr>
        <w:spacing w:line="200" w:lineRule="exact"/>
        <w:ind w:left="0" w:firstLine="289"/>
        <w:outlineLvl w:val="1"/>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其他</w:t>
      </w:r>
    </w:p>
    <w:p w:rsidR="00D74678" w:rsidRPr="0093038C" w:rsidRDefault="005D5CC8">
      <w:pPr>
        <w:pStyle w:val="Normalfe74557f"/>
        <w:widowControl/>
        <w:tabs>
          <w:tab w:val="left" w:pos="567"/>
        </w:tabs>
        <w:spacing w:line="200" w:lineRule="exact"/>
        <w:ind w:left="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1.不可抗力：指理财产品各方不能预见、不能避免且不能克服的客观情况，该事件妨碍、影响或延误任何一方</w:t>
      </w:r>
      <w:proofErr w:type="gramStart"/>
      <w:r w:rsidRPr="0093038C">
        <w:rPr>
          <w:rFonts w:ascii="方正黑体_GBK" w:eastAsia="方正黑体_GBK" w:hint="eastAsia"/>
          <w:color w:val="3D3D3D"/>
          <w:kern w:val="0"/>
          <w:sz w:val="15"/>
          <w:szCs w:val="15"/>
        </w:rPr>
        <w:t>依相关</w:t>
      </w:r>
      <w:proofErr w:type="gramEnd"/>
      <w:r w:rsidRPr="0093038C">
        <w:rPr>
          <w:rFonts w:ascii="方正黑体_GBK" w:eastAsia="方正黑体_GBK" w:hint="eastAsia"/>
          <w:color w:val="3D3D3D"/>
          <w:kern w:val="0"/>
          <w:sz w:val="15"/>
          <w:szCs w:val="15"/>
        </w:rPr>
        <w:t>理财产品销售文件的约定履行其全部或部分义务。该事件包括但不限于：</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自然灾害、地震、台风、海啸、洪水、火灾、停电、突发性公共卫生事件；</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罢工、内战、战争、军事行动、任何种类的恐怖活动、暴动、公众示威或抗议；</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新的适用法律或国家政策的颁布或实施、对原适用法律或国家政策的修改；</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任何政府机关或其他机关的行为（不论是在法律上或是在事实上）、法律、法规、条例、规则、规定、裁决、命令或指令（包括国有化或对外限制、外汇管制）、诉讼或威胁；</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中国境内或全球金融外汇市场发生致使甲方无法进行货币兑换、划转等的异常变化；</w:t>
      </w:r>
    </w:p>
    <w:p w:rsidR="00D74678" w:rsidRPr="0093038C" w:rsidRDefault="005D5CC8">
      <w:pPr>
        <w:pStyle w:val="155f62a88"/>
        <w:widowControl/>
        <w:numPr>
          <w:ilvl w:val="0"/>
          <w:numId w:val="2"/>
        </w:numPr>
        <w:tabs>
          <w:tab w:val="left" w:pos="567"/>
        </w:tabs>
        <w:spacing w:line="200" w:lineRule="exact"/>
        <w:ind w:firstLineChars="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D74678" w:rsidRPr="0093038C" w:rsidRDefault="005D5CC8">
      <w:pPr>
        <w:pStyle w:val="Normalfe74557f"/>
        <w:widowControl/>
        <w:tabs>
          <w:tab w:val="left" w:pos="567"/>
        </w:tabs>
        <w:spacing w:line="200" w:lineRule="exact"/>
        <w:ind w:left="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2.中国：指中华人民共和国（为本理财产品销售文件之目的，不包括香港特别行政区、澳门特别行政区和台湾地区）。</w:t>
      </w:r>
    </w:p>
    <w:p w:rsidR="00D74678" w:rsidRPr="0093038C" w:rsidRDefault="005D5CC8">
      <w:pPr>
        <w:pStyle w:val="Normalfe74557f"/>
        <w:widowControl/>
        <w:tabs>
          <w:tab w:val="left" w:pos="567"/>
        </w:tabs>
        <w:spacing w:line="200" w:lineRule="exact"/>
        <w:ind w:left="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3.元：指人民币元。</w:t>
      </w:r>
    </w:p>
    <w:p w:rsidR="00D74678" w:rsidRPr="0093038C" w:rsidRDefault="005D5CC8">
      <w:pPr>
        <w:pStyle w:val="Normalfe74557f"/>
        <w:widowControl/>
        <w:tabs>
          <w:tab w:val="left" w:pos="567"/>
        </w:tabs>
        <w:spacing w:line="200" w:lineRule="exact"/>
        <w:ind w:left="289"/>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74678" w:rsidRPr="0093038C" w:rsidRDefault="005D5CC8">
      <w:pPr>
        <w:widowControl/>
        <w:spacing w:line="200" w:lineRule="exact"/>
        <w:rPr>
          <w:rFonts w:ascii="方正黑体_GBK" w:eastAsia="方正黑体_GBK"/>
          <w:b/>
          <w:bCs/>
          <w:kern w:val="0"/>
          <w:sz w:val="15"/>
          <w:szCs w:val="15"/>
        </w:rPr>
      </w:pPr>
      <w:r w:rsidRPr="0093038C">
        <w:rPr>
          <w:rFonts w:ascii="方正黑体_GBK" w:eastAsia="方正黑体_GBK" w:hint="eastAsia"/>
          <w:b/>
          <w:bCs/>
          <w:kern w:val="0"/>
          <w:sz w:val="15"/>
          <w:szCs w:val="15"/>
        </w:rPr>
        <w:t>第三条  情景示例</w:t>
      </w:r>
    </w:p>
    <w:p w:rsidR="00D74678" w:rsidRPr="0093038C" w:rsidRDefault="005D5CC8">
      <w:pPr>
        <w:spacing w:line="200" w:lineRule="exact"/>
        <w:ind w:firstLine="300"/>
        <w:rPr>
          <w:rFonts w:ascii="方正黑体_GBK" w:eastAsia="方正黑体_GBK" w:hAnsi="宋体"/>
          <w:b/>
          <w:sz w:val="15"/>
        </w:rPr>
      </w:pPr>
      <w:r w:rsidRPr="0093038C">
        <w:rPr>
          <w:rFonts w:ascii="方正黑体_GBK" w:eastAsia="方正黑体_GBK" w:hAnsi="宋体" w:hint="eastAsia"/>
          <w:b/>
          <w:sz w:val="15"/>
        </w:rPr>
        <w:t>1、</w:t>
      </w:r>
      <w:proofErr w:type="gramStart"/>
      <w:r w:rsidRPr="0093038C">
        <w:rPr>
          <w:rFonts w:ascii="方正黑体_GBK" w:eastAsia="方正黑体_GBK" w:hAnsi="宋体" w:hint="eastAsia"/>
          <w:b/>
          <w:sz w:val="15"/>
        </w:rPr>
        <w:t>申赎规则</w:t>
      </w:r>
      <w:proofErr w:type="gramEnd"/>
      <w:r w:rsidRPr="0093038C">
        <w:rPr>
          <w:rFonts w:ascii="方正黑体_GBK" w:eastAsia="方正黑体_GBK" w:hAnsi="宋体" w:hint="eastAsia"/>
          <w:b/>
          <w:sz w:val="15"/>
        </w:rPr>
        <w:t>示例</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本产品2024年2月1日（周四）至2024年2月7日（下周三，产品单位净值为1.100000元每份）开放申购，客户申购1.1万元，则将于2024年2月8日（下周四，运作起始日）确认申购份额1万份（1.1万元/1.100000元每份=1万份）。该份额运作满182天后（2024年2月8日+182-1=2024年8月7日，因2024年8月7日为工作日故不顺延，自动赎回日为其下一工作日，即2024年8月8日），2024年8月8日（自动赎回日）由系统发起全额自动赎回。假设2024年8月7日本产品单位净值为1.107000元每份，则赎回金额为11070.00万元（1万份*1.107000元每份=11070.00元）。</w:t>
      </w:r>
    </w:p>
    <w:p w:rsidR="00D74678" w:rsidRPr="0093038C" w:rsidRDefault="005D5CC8">
      <w:pPr>
        <w:spacing w:line="200" w:lineRule="exact"/>
        <w:ind w:firstLine="300"/>
        <w:rPr>
          <w:rFonts w:ascii="方正黑体_GBK" w:eastAsia="方正黑体_GBK" w:hAnsi="宋体"/>
          <w:b/>
          <w:sz w:val="15"/>
        </w:rPr>
      </w:pPr>
      <w:r w:rsidRPr="0093038C">
        <w:rPr>
          <w:rFonts w:ascii="方正黑体_GBK" w:eastAsia="方正黑体_GBK" w:hAnsi="宋体" w:hint="eastAsia"/>
          <w:b/>
          <w:sz w:val="15"/>
        </w:rPr>
        <w:t>2、浮动管理费和超额业绩报酬费用计算示例</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客户认申购本产品A份额1万元，客户份额确认时公布的182天业绩比较基准为3.10%，客户份额确认时的产品单位净值为1.000000，则客户确认份额为10000.00份。客户份额运作满182天由系统发起全额自动赎回（份额运作周期为182天），根据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工作日的产品单位净值计算有以下4种情形。</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lastRenderedPageBreak/>
        <w:t>情形1：</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工作日的产品单位净值为1.024931，客户份额持有期间净值增长率为5.00%（大于A份额业绩比较基准3.10%+浮动管理费率1.5%），则管理人收取1.5%浮动管理费，并收取0.08%超额业绩报酬，客户实际收益率为3.42%。</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情形2：</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工作日的产品单位净值为1.019945，客户份额持有期间净值增长率为4.00%（大于A份额业绩比较基准3.10%，小于业绩比较基准3.10%+浮动管理费率1.5%），则管理人收取0.90%浮动管理费，客户实际收益率为3.10%。</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情形3：</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工作日的产品单位净值为1.012465，客户份额持有期间净值增长率为2.50%（小于A份额业绩比较基准3.10%），客户按自动赎回日前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工作日的产品单位净值兑付，客户实际收益为2.50%，管理人无浮动管理费。</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情形4：</w:t>
      </w:r>
    </w:p>
    <w:p w:rsidR="00D74678" w:rsidRPr="0093038C" w:rsidRDefault="005D5CC8">
      <w:pPr>
        <w:spacing w:line="200" w:lineRule="exact"/>
        <w:ind w:firstLine="300"/>
        <w:rPr>
          <w:rFonts w:ascii="方正黑体_GBK" w:eastAsia="方正黑体_GBK" w:hAnsi="宋体"/>
          <w:sz w:val="15"/>
        </w:rPr>
      </w:pPr>
      <w:r w:rsidRPr="0093038C">
        <w:rPr>
          <w:rFonts w:ascii="方正黑体_GBK" w:eastAsia="方正黑体_GBK" w:hAnsi="宋体" w:hint="eastAsia"/>
          <w:sz w:val="15"/>
        </w:rPr>
        <w:t>假设自动赎回日前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工作日的产品单位净值为0.999750，客户份额持有期限净值增长率为-0.05%，客户按自动赎回日前</w:t>
      </w:r>
      <w:proofErr w:type="gramStart"/>
      <w:r w:rsidRPr="0093038C">
        <w:rPr>
          <w:rFonts w:ascii="方正黑体_GBK" w:eastAsia="方正黑体_GBK" w:hAnsi="宋体" w:hint="eastAsia"/>
          <w:sz w:val="15"/>
        </w:rPr>
        <w:t>一</w:t>
      </w:r>
      <w:proofErr w:type="gramEnd"/>
      <w:r w:rsidRPr="0093038C">
        <w:rPr>
          <w:rFonts w:ascii="方正黑体_GBK" w:eastAsia="方正黑体_GBK" w:hAnsi="宋体" w:hint="eastAsia"/>
          <w:sz w:val="15"/>
        </w:rPr>
        <w:t>工作日的产品单位净值兑付，客户无收益，实际发生本金损失0.05%，管理人无浮动管理费。</w:t>
      </w:r>
    </w:p>
    <w:p w:rsidR="00D74678" w:rsidRPr="0093038C" w:rsidRDefault="005D5CC8">
      <w:pPr>
        <w:widowControl/>
        <w:spacing w:line="200" w:lineRule="exact"/>
        <w:ind w:firstLineChars="200" w:firstLine="300"/>
        <w:rPr>
          <w:rFonts w:ascii="方正黑体_GBK" w:eastAsia="方正黑体_GBK"/>
          <w:sz w:val="15"/>
          <w:szCs w:val="15"/>
        </w:rPr>
      </w:pPr>
      <w:r w:rsidRPr="0093038C">
        <w:rPr>
          <w:rFonts w:ascii="方正黑体_GBK" w:eastAsia="方正黑体_GBK" w:hint="eastAsia"/>
          <w:b/>
          <w:bCs/>
          <w:kern w:val="0"/>
          <w:sz w:val="15"/>
          <w:szCs w:val="15"/>
        </w:rPr>
        <w:t>特别提请投资者注意的是，上述收益率</w:t>
      </w:r>
      <w:proofErr w:type="gramStart"/>
      <w:r w:rsidRPr="0093038C">
        <w:rPr>
          <w:rFonts w:ascii="方正黑体_GBK" w:eastAsia="方正黑体_GBK" w:hint="eastAsia"/>
          <w:b/>
          <w:bCs/>
          <w:kern w:val="0"/>
          <w:sz w:val="15"/>
          <w:szCs w:val="15"/>
        </w:rPr>
        <w:t>测算仅</w:t>
      </w:r>
      <w:proofErr w:type="gramEnd"/>
      <w:r w:rsidRPr="0093038C">
        <w:rPr>
          <w:rFonts w:ascii="方正黑体_GBK" w:eastAsia="方正黑体_GBK"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D74678" w:rsidRPr="0093038C" w:rsidRDefault="005D5CC8">
      <w:pPr>
        <w:widowControl/>
        <w:spacing w:line="200" w:lineRule="exact"/>
        <w:ind w:firstLineChars="200" w:firstLine="300"/>
        <w:rPr>
          <w:rFonts w:ascii="方正黑体_GBK" w:eastAsia="方正黑体_GBK"/>
        </w:rPr>
      </w:pPr>
      <w:r w:rsidRPr="0093038C">
        <w:rPr>
          <w:rFonts w:ascii="方正黑体_GBK" w:eastAsia="方正黑体_GBK" w:hint="eastAsia"/>
          <w:b/>
          <w:bCs/>
          <w:kern w:val="0"/>
          <w:sz w:val="15"/>
          <w:szCs w:val="15"/>
        </w:rPr>
        <w:t>风险提示：如出现本理财产品所投资的资产或资产组合项</w:t>
      </w:r>
      <w:proofErr w:type="gramStart"/>
      <w:r w:rsidRPr="0093038C">
        <w:rPr>
          <w:rFonts w:ascii="方正黑体_GBK" w:eastAsia="方正黑体_GBK" w:hint="eastAsia"/>
          <w:b/>
          <w:bCs/>
          <w:kern w:val="0"/>
          <w:sz w:val="15"/>
          <w:szCs w:val="15"/>
        </w:rPr>
        <w:t>下义务</w:t>
      </w:r>
      <w:proofErr w:type="gramEnd"/>
      <w:r w:rsidRPr="0093038C">
        <w:rPr>
          <w:rFonts w:ascii="方正黑体_GBK" w:eastAsia="方正黑体_GBK" w:hint="eastAsia"/>
          <w:b/>
          <w:bCs/>
          <w:kern w:val="0"/>
          <w:sz w:val="15"/>
          <w:szCs w:val="15"/>
        </w:rPr>
        <w:t>人出现无法兑付本金等极端情况，产品运作到期后投资者可能无收益，并可能损失全部本金。</w:t>
      </w:r>
    </w:p>
    <w:p w:rsidR="00D74678" w:rsidRPr="0093038C" w:rsidRDefault="005D5CC8">
      <w:pPr>
        <w:widowControl/>
        <w:spacing w:line="200" w:lineRule="exact"/>
        <w:rPr>
          <w:rFonts w:ascii="方正黑体_GBK" w:eastAsia="方正黑体_GBK"/>
          <w:b/>
          <w:kern w:val="0"/>
          <w:sz w:val="15"/>
          <w:szCs w:val="15"/>
        </w:rPr>
      </w:pPr>
      <w:r w:rsidRPr="0093038C">
        <w:rPr>
          <w:rFonts w:ascii="方正黑体_GBK" w:eastAsia="方正黑体_GBK" w:hint="eastAsia"/>
          <w:b/>
          <w:bCs/>
          <w:kern w:val="0"/>
          <w:sz w:val="15"/>
          <w:szCs w:val="15"/>
        </w:rPr>
        <w:t>第四</w:t>
      </w:r>
      <w:r w:rsidRPr="0093038C">
        <w:rPr>
          <w:rFonts w:ascii="方正黑体_GBK" w:eastAsia="方正黑体_GBK" w:hint="eastAsia"/>
          <w:b/>
          <w:kern w:val="0"/>
          <w:sz w:val="15"/>
          <w:szCs w:val="15"/>
        </w:rPr>
        <w:t>条  理财产品估值</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（一）估值日</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本理财产品每个工作日进行估值。</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（二）估值对象</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本理财产品所拥有的所有资产及负债。</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（三）估值目的</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客观、准确反映理财产品的价值。</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（四）估值原则</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理财产品应坚持公允价值计量原则，符合会计准则和监管规定的范围内的可选择摊</w:t>
      </w:r>
      <w:proofErr w:type="gramStart"/>
      <w:r w:rsidRPr="0093038C">
        <w:rPr>
          <w:rFonts w:ascii="方正黑体_GBK" w:eastAsia="方正黑体_GBK" w:hAnsi="宋体" w:cs="宋体" w:hint="eastAsia"/>
          <w:sz w:val="15"/>
        </w:rPr>
        <w:t>余成本</w:t>
      </w:r>
      <w:proofErr w:type="gramEnd"/>
      <w:r w:rsidRPr="0093038C">
        <w:rPr>
          <w:rFonts w:ascii="方正黑体_GBK" w:eastAsia="方正黑体_GBK" w:hAnsi="宋体" w:cs="宋体" w:hint="eastAsia"/>
          <w:sz w:val="15"/>
        </w:rPr>
        <w:t>法计量。</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（五）估值方法</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sz w:val="15"/>
        </w:rPr>
        <w:t>估值方法中列示的资产品种不代表管理人的实际投向，本理财产品拟投资范围以“投资范围”章节描述为准。</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sz w:val="15"/>
        </w:rPr>
        <w:t>1.银行存款、回购等货币市场工具</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sz w:val="15"/>
        </w:rPr>
        <w:t>以本金列示，按商定的利率在实际持有期间内逐日计提。</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2.债券类资产</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sidRPr="0093038C">
        <w:rPr>
          <w:rFonts w:ascii="方正黑体_GBK" w:eastAsia="方正黑体_GBK" w:hAnsi="宋体" w:cs="宋体" w:hint="eastAsia"/>
          <w:color w:val="3D3D3D"/>
          <w:sz w:val="15"/>
        </w:rPr>
        <w:t>流难以</w:t>
      </w:r>
      <w:proofErr w:type="gramEnd"/>
      <w:r w:rsidRPr="0093038C">
        <w:rPr>
          <w:rFonts w:ascii="方正黑体_GBK" w:eastAsia="方正黑体_GBK" w:hAnsi="宋体" w:cs="宋体" w:hint="eastAsia"/>
          <w:color w:val="3D3D3D"/>
          <w:sz w:val="15"/>
        </w:rPr>
        <w:t>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w:t>
      </w:r>
      <w:proofErr w:type="gramStart"/>
      <w:r w:rsidRPr="0093038C">
        <w:rPr>
          <w:rFonts w:ascii="方正黑体_GBK" w:eastAsia="方正黑体_GBK" w:hAnsi="宋体" w:cs="宋体" w:hint="eastAsia"/>
          <w:color w:val="3D3D3D"/>
          <w:sz w:val="15"/>
        </w:rPr>
        <w:t>按摊余成本</w:t>
      </w:r>
      <w:proofErr w:type="gramEnd"/>
      <w:r w:rsidRPr="0093038C">
        <w:rPr>
          <w:rFonts w:ascii="方正黑体_GBK" w:eastAsia="方正黑体_GBK" w:hAnsi="宋体" w:cs="宋体" w:hint="eastAsia"/>
          <w:color w:val="3D3D3D"/>
          <w:sz w:val="15"/>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3.非标准化债权类资产</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w:t>
      </w:r>
      <w:proofErr w:type="gramStart"/>
      <w:r w:rsidRPr="0093038C">
        <w:rPr>
          <w:rFonts w:ascii="方正黑体_GBK" w:eastAsia="方正黑体_GBK" w:hAnsi="宋体" w:cs="宋体" w:hint="eastAsia"/>
          <w:color w:val="3D3D3D"/>
          <w:sz w:val="15"/>
        </w:rPr>
        <w:t>按摊余成本</w:t>
      </w:r>
      <w:proofErr w:type="gramEnd"/>
      <w:r w:rsidRPr="0093038C">
        <w:rPr>
          <w:rFonts w:ascii="方正黑体_GBK" w:eastAsia="方正黑体_GBK" w:hAnsi="宋体" w:cs="宋体" w:hint="eastAsia"/>
          <w:color w:val="3D3D3D"/>
          <w:sz w:val="15"/>
        </w:rPr>
        <w:t>法估值，并按照会计准则采用合理减值计量模型或第三方减值计量结果进行预期信用损失的减值计提。</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4.证券投资基金</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5.股权类资产</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6.</w:t>
      </w:r>
      <w:proofErr w:type="gramStart"/>
      <w:r w:rsidRPr="0093038C">
        <w:rPr>
          <w:rFonts w:ascii="方正黑体_GBK" w:eastAsia="方正黑体_GBK" w:hAnsi="宋体" w:cs="宋体" w:hint="eastAsia"/>
          <w:color w:val="3D3D3D"/>
          <w:sz w:val="15"/>
        </w:rPr>
        <w:t>资管计划</w:t>
      </w:r>
      <w:proofErr w:type="gramEnd"/>
      <w:r w:rsidRPr="0093038C">
        <w:rPr>
          <w:rFonts w:ascii="方正黑体_GBK" w:eastAsia="方正黑体_GBK" w:hAnsi="宋体" w:cs="宋体" w:hint="eastAsia"/>
          <w:color w:val="3D3D3D"/>
          <w:sz w:val="15"/>
        </w:rPr>
        <w:t>、信托计划等资产</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存在公允价值的，按照公允价值估值，或采用估值技术确定估值，也可采用被委托机构提供的估值或计量报告。</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7.其他资产</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存在公允价值的，按照公允价值估值，或采用估值技术确定估值，也可采用被委托机构提供的估值或计量报告。具体可参考《企业会计准则》以及相关监管政策的规定。</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color w:val="3D3D3D"/>
          <w:sz w:val="15"/>
        </w:rPr>
        <w:t>9.如有新增事项或变更事项，按国家最新规定或管理</w:t>
      </w:r>
      <w:proofErr w:type="gramStart"/>
      <w:r w:rsidRPr="0093038C">
        <w:rPr>
          <w:rFonts w:ascii="方正黑体_GBK" w:eastAsia="方正黑体_GBK" w:hAnsi="宋体" w:cs="宋体" w:hint="eastAsia"/>
          <w:color w:val="3D3D3D"/>
          <w:sz w:val="15"/>
        </w:rPr>
        <w:t>人最新</w:t>
      </w:r>
      <w:proofErr w:type="gramEnd"/>
      <w:r w:rsidRPr="0093038C">
        <w:rPr>
          <w:rFonts w:ascii="方正黑体_GBK" w:eastAsia="方正黑体_GBK" w:hAnsi="宋体" w:cs="宋体" w:hint="eastAsia"/>
          <w:color w:val="3D3D3D"/>
          <w:sz w:val="15"/>
        </w:rPr>
        <w:t>的约定估值。</w:t>
      </w:r>
    </w:p>
    <w:p w:rsidR="00D74678" w:rsidRPr="0093038C" w:rsidRDefault="005D5CC8">
      <w:pPr>
        <w:spacing w:line="200" w:lineRule="exact"/>
        <w:ind w:firstLine="280"/>
        <w:jc w:val="left"/>
        <w:rPr>
          <w:rFonts w:ascii="方正黑体_GBK" w:eastAsia="方正黑体_GBK"/>
        </w:rPr>
      </w:pPr>
      <w:r w:rsidRPr="0093038C">
        <w:rPr>
          <w:rFonts w:ascii="方正黑体_GBK" w:eastAsia="方正黑体_GBK" w:hAnsi="宋体" w:cs="宋体" w:hint="eastAsia"/>
          <w:sz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（六）估值错误及暂停估值</w:t>
      </w:r>
    </w:p>
    <w:p w:rsidR="00D74678" w:rsidRPr="0093038C" w:rsidRDefault="005D5CC8">
      <w:pPr>
        <w:spacing w:line="200" w:lineRule="exact"/>
        <w:ind w:firstLine="300"/>
        <w:rPr>
          <w:rFonts w:ascii="方正黑体_GBK" w:eastAsia="方正黑体_GBK"/>
        </w:rPr>
      </w:pPr>
      <w:r w:rsidRPr="0093038C">
        <w:rPr>
          <w:rFonts w:ascii="方正黑体_GBK" w:eastAsia="方正黑体_GBK" w:hAnsi="宋体" w:cs="宋体" w:hint="eastAsia"/>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D74678" w:rsidRPr="0093038C" w:rsidRDefault="005D5CC8">
      <w:pPr>
        <w:widowControl/>
        <w:spacing w:line="200" w:lineRule="exact"/>
        <w:rPr>
          <w:rFonts w:ascii="方正黑体_GBK" w:eastAsia="方正黑体_GBK"/>
          <w:b/>
          <w:bCs/>
          <w:kern w:val="0"/>
          <w:sz w:val="15"/>
          <w:szCs w:val="15"/>
        </w:rPr>
      </w:pPr>
      <w:r w:rsidRPr="0093038C">
        <w:rPr>
          <w:rFonts w:ascii="方正黑体_GBK" w:eastAsia="方正黑体_GBK" w:hint="eastAsia"/>
          <w:b/>
          <w:bCs/>
          <w:kern w:val="0"/>
          <w:sz w:val="15"/>
          <w:szCs w:val="15"/>
        </w:rPr>
        <w:t>第五条  信息披露</w:t>
      </w:r>
    </w:p>
    <w:p w:rsidR="00D74678" w:rsidRPr="0093038C" w:rsidRDefault="005D5CC8">
      <w:pPr>
        <w:widowControl/>
        <w:numPr>
          <w:ilvl w:val="0"/>
          <w:numId w:val="3"/>
        </w:numPr>
        <w:spacing w:line="200" w:lineRule="exact"/>
        <w:ind w:left="0"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信息披露渠道</w:t>
      </w:r>
    </w:p>
    <w:p w:rsidR="00D74678" w:rsidRPr="0093038C" w:rsidRDefault="005D5CC8">
      <w:pPr>
        <w:spacing w:line="200" w:lineRule="exact"/>
        <w:rPr>
          <w:rFonts w:ascii="方正黑体_GBK" w:eastAsia="方正黑体_GBK"/>
        </w:rPr>
      </w:pPr>
      <w:r w:rsidRPr="0093038C">
        <w:rPr>
          <w:rFonts w:ascii="方正黑体_GBK" w:eastAsia="方正黑体_GBK" w:hAnsi="宋体" w:cs="宋体" w:hint="eastAsia"/>
          <w:color w:val="3D3D3D"/>
          <w:sz w:val="15"/>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74678" w:rsidRPr="0093038C" w:rsidRDefault="005D5CC8">
      <w:pPr>
        <w:widowControl/>
        <w:numPr>
          <w:ilvl w:val="0"/>
          <w:numId w:val="3"/>
        </w:numPr>
        <w:spacing w:line="200" w:lineRule="exact"/>
        <w:ind w:left="0"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信息披露的内容及时间</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 xml:space="preserve"> 净值信息</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管理人在本理财产品存续期间至少按日向投资者披露净值。</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产品发行公告</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管理人将在本理财产品成立后5个工作日内披露产品发行公告。</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定期报告</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lastRenderedPageBreak/>
        <w:t>管理人将在每个季度结束之日起15个工作日内、上半年结束之日起60个工作日内、每年结束之日起90个工作日内披露本理财产品的季度、半年和年度报告，如果本理财产品成立不足90个工作日或者剩余存续期不超过90个工作日的，管理人可以不编制产品当期的季度、半年和年度报告。</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到期公告</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管理人将在本理财产品终止后5个工作日内披露产品到期公告。</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重大事项公告</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管理人将在发生可能对本理财产品投资者或者理财产品收益产生重大影响的事件后2个工作日内披露重大事项公告。</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临时公告</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理财产品在运作管理过程中，发生可能对理财产品持有人权益产生影响的事项时，管理人将根据法律法规规定及时进行临时信息披露。</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关联交易信息披露</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D74678" w:rsidRPr="0093038C" w:rsidRDefault="005D5CC8">
      <w:pPr>
        <w:widowControl/>
        <w:numPr>
          <w:ilvl w:val="0"/>
          <w:numId w:val="4"/>
        </w:numPr>
        <w:spacing w:line="200" w:lineRule="exact"/>
        <w:ind w:left="0"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账单</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D74678" w:rsidRPr="0093038C" w:rsidRDefault="005D5CC8">
      <w:pPr>
        <w:widowControl/>
        <w:numPr>
          <w:ilvl w:val="0"/>
          <w:numId w:val="4"/>
        </w:numPr>
        <w:spacing w:line="200" w:lineRule="exact"/>
        <w:ind w:left="0" w:firstLineChars="200" w:firstLine="300"/>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在本理财产品存续期内：</w:t>
      </w:r>
    </w:p>
    <w:p w:rsidR="00D74678" w:rsidRPr="0093038C" w:rsidRDefault="005D5CC8">
      <w:pPr>
        <w:widowControl/>
        <w:spacing w:line="200" w:lineRule="exact"/>
        <w:ind w:firstLineChars="200" w:firstLine="300"/>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74678" w:rsidRPr="0093038C" w:rsidRDefault="005D5CC8">
      <w:pPr>
        <w:widowControl/>
        <w:spacing w:line="200" w:lineRule="exact"/>
        <w:ind w:firstLineChars="200" w:firstLine="300"/>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74678" w:rsidRPr="0093038C" w:rsidRDefault="005D5CC8">
      <w:pPr>
        <w:widowControl/>
        <w:spacing w:line="200" w:lineRule="exact"/>
        <w:ind w:firstLineChars="200"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10.其他公告</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理财产品在运作管理过程中，管理人根据实际运作情况发布的其他公告。</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第六条  投资者保护提示</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您如对销售机构产品推介和销售等服务有任何意见或建议，您可通过拨打销售机构客</w:t>
      </w:r>
      <w:proofErr w:type="gramStart"/>
      <w:r w:rsidRPr="0093038C">
        <w:rPr>
          <w:rFonts w:ascii="方正黑体_GBK" w:eastAsia="方正黑体_GBK" w:hint="eastAsia"/>
          <w:color w:val="3D3D3D"/>
          <w:kern w:val="0"/>
          <w:sz w:val="15"/>
          <w:szCs w:val="15"/>
        </w:rPr>
        <w:t>服电话</w:t>
      </w:r>
      <w:proofErr w:type="gramEnd"/>
      <w:r w:rsidRPr="0093038C">
        <w:rPr>
          <w:rFonts w:ascii="方正黑体_GBK" w:eastAsia="方正黑体_GBK" w:hint="eastAsia"/>
          <w:color w:val="3D3D3D"/>
          <w:kern w:val="0"/>
          <w:sz w:val="15"/>
          <w:szCs w:val="15"/>
        </w:rPr>
        <w:t>进行咨询及反馈。</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您如对理财产品设计、投资管理等事项有任何意见或建议，您可通过拨打管理人客</w:t>
      </w:r>
      <w:proofErr w:type="gramStart"/>
      <w:r w:rsidRPr="0093038C">
        <w:rPr>
          <w:rFonts w:ascii="方正黑体_GBK" w:eastAsia="方正黑体_GBK" w:hint="eastAsia"/>
          <w:color w:val="3D3D3D"/>
          <w:kern w:val="0"/>
          <w:sz w:val="15"/>
          <w:szCs w:val="15"/>
        </w:rPr>
        <w:t>服电话</w:t>
      </w:r>
      <w:proofErr w:type="gramEnd"/>
      <w:r w:rsidRPr="0093038C">
        <w:rPr>
          <w:rFonts w:ascii="方正黑体_GBK" w:eastAsia="方正黑体_GBK" w:hint="eastAsia"/>
          <w:color w:val="3D3D3D"/>
          <w:kern w:val="0"/>
          <w:sz w:val="15"/>
          <w:szCs w:val="15"/>
        </w:rPr>
        <w:t>进行咨询及反馈。</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销售机构及管理人的联系方式详见《投资者权益须知》第八条。</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第七条  法律适用和争议解决</w:t>
      </w:r>
    </w:p>
    <w:p w:rsidR="00D74678" w:rsidRPr="0093038C" w:rsidRDefault="005D5CC8">
      <w:pPr>
        <w:widowControl/>
        <w:spacing w:line="200" w:lineRule="exact"/>
        <w:ind w:firstLine="300"/>
        <w:rPr>
          <w:rFonts w:ascii="方正黑体_GBK" w:eastAsia="方正黑体_GBK"/>
          <w:color w:val="3D3D3D"/>
          <w:kern w:val="0"/>
          <w:sz w:val="15"/>
          <w:szCs w:val="15"/>
        </w:rPr>
      </w:pPr>
      <w:r w:rsidRPr="0093038C">
        <w:rPr>
          <w:rFonts w:ascii="方正黑体_GBK" w:eastAsia="方正黑体_GBK" w:hint="eastAsia"/>
          <w:color w:val="3D3D3D"/>
          <w:kern w:val="0"/>
          <w:sz w:val="15"/>
          <w:szCs w:val="15"/>
        </w:rPr>
        <w:t>理财产品销售文件的订立、生效、履行、解释、修改和终止等事项的适用法律和争议解决方式按照销售协议书的相关约定执行。</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第八条  重要提示</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请您一定仔细阅读本理财产品销售文件，了解理财产品具体情况，关注投资风险，自主决定是否投资。</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D74678" w:rsidRPr="0093038C" w:rsidRDefault="005D5CC8">
      <w:pPr>
        <w:widowControl/>
        <w:spacing w:line="200" w:lineRule="exact"/>
        <w:ind w:firstLineChars="200" w:firstLine="300"/>
        <w:rPr>
          <w:rFonts w:ascii="方正黑体_GBK" w:eastAsia="方正黑体_GBK"/>
          <w:b/>
          <w:bCs/>
          <w:kern w:val="0"/>
          <w:sz w:val="15"/>
          <w:szCs w:val="15"/>
        </w:rPr>
      </w:pPr>
      <w:r w:rsidRPr="0093038C">
        <w:rPr>
          <w:rFonts w:ascii="方正黑体_GBK" w:eastAsia="方正黑体_GBK"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D74678" w:rsidRPr="0093038C" w:rsidRDefault="00D74678">
      <w:pPr>
        <w:widowControl/>
        <w:rPr>
          <w:rFonts w:ascii="方正黑体_GBK" w:eastAsia="方正黑体_GBK"/>
          <w:b/>
          <w:bCs/>
          <w:color w:val="3D3D3D"/>
          <w:kern w:val="0"/>
          <w:sz w:val="15"/>
          <w:szCs w:val="15"/>
        </w:rPr>
      </w:pPr>
    </w:p>
    <w:p w:rsidR="00D74678" w:rsidRPr="0093038C" w:rsidRDefault="005D5CC8">
      <w:pPr>
        <w:widowControl/>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风险提示：</w:t>
      </w:r>
    </w:p>
    <w:p w:rsidR="00D74678" w:rsidRDefault="005D5CC8">
      <w:pPr>
        <w:tabs>
          <w:tab w:val="left" w:pos="8033"/>
        </w:tabs>
        <w:jc w:val="left"/>
        <w:rPr>
          <w:rFonts w:ascii="方正黑体_GBK" w:eastAsia="方正黑体_GBK"/>
          <w:b/>
          <w:bCs/>
          <w:color w:val="3D3D3D"/>
          <w:kern w:val="0"/>
          <w:sz w:val="15"/>
          <w:szCs w:val="15"/>
        </w:rPr>
      </w:pPr>
      <w:r w:rsidRPr="0093038C">
        <w:rPr>
          <w:rFonts w:ascii="方正黑体_GBK" w:eastAsia="方正黑体_GBK" w:hint="eastAsia"/>
          <w:b/>
          <w:bCs/>
          <w:color w:val="3D3D3D"/>
          <w:kern w:val="0"/>
          <w:sz w:val="15"/>
          <w:szCs w:val="15"/>
        </w:rPr>
        <w:t>本理财产品是</w:t>
      </w:r>
      <w:r w:rsidRPr="0093038C">
        <w:rPr>
          <w:rFonts w:ascii="方正黑体_GBK" w:eastAsia="方正黑体_GBK" w:cs="宋体" w:hint="eastAsia"/>
          <w:b/>
          <w:bCs/>
          <w:i/>
          <w:iCs/>
          <w:kern w:val="0"/>
          <w:sz w:val="20"/>
          <w:u w:val="single"/>
        </w:rPr>
        <w:t>开放式、固定收益类、公募、净值型</w:t>
      </w:r>
      <w:r w:rsidRPr="0093038C">
        <w:rPr>
          <w:rFonts w:ascii="方正黑体_GBK" w:eastAsia="方正黑体_GBK" w:hint="eastAsia"/>
          <w:b/>
          <w:bCs/>
          <w:color w:val="3D3D3D"/>
          <w:kern w:val="0"/>
          <w:sz w:val="15"/>
          <w:szCs w:val="15"/>
        </w:rPr>
        <w:t>理财产品，</w:t>
      </w:r>
      <w:r w:rsidRPr="0093038C">
        <w:rPr>
          <w:rFonts w:ascii="方正黑体_GBK" w:eastAsia="方正黑体_GBK" w:hint="eastAsia"/>
          <w:b/>
          <w:bCs/>
          <w:i/>
          <w:iCs/>
          <w:color w:val="3D3D3D"/>
          <w:kern w:val="0"/>
          <w:sz w:val="21"/>
          <w:szCs w:val="21"/>
          <w:u w:val="single"/>
        </w:rPr>
        <w:t>不保证本金和收益</w:t>
      </w:r>
      <w:r w:rsidRPr="0093038C">
        <w:rPr>
          <w:rFonts w:ascii="方正黑体_GBK" w:eastAsia="方正黑体_GBK"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b/>
          <w:bCs/>
          <w:color w:val="3D3D3D"/>
          <w:kern w:val="0"/>
          <w:sz w:val="15"/>
          <w:szCs w:val="15"/>
        </w:rPr>
      </w:pPr>
    </w:p>
    <w:p w:rsidR="00C65800" w:rsidRDefault="00C65800">
      <w:pPr>
        <w:tabs>
          <w:tab w:val="left" w:pos="8033"/>
        </w:tabs>
        <w:jc w:val="left"/>
        <w:rPr>
          <w:rFonts w:ascii="方正黑体_GBK" w:eastAsia="方正黑体_GBK" w:hint="eastAsia"/>
          <w:b/>
          <w:bCs/>
          <w:color w:val="3D3D3D"/>
          <w:kern w:val="0"/>
          <w:sz w:val="15"/>
          <w:szCs w:val="15"/>
        </w:rPr>
      </w:pPr>
      <w:bookmarkStart w:id="0" w:name="_GoBack"/>
      <w:bookmarkEnd w:id="0"/>
    </w:p>
    <w:p w:rsidR="00C65800" w:rsidRDefault="00C65800">
      <w:pPr>
        <w:tabs>
          <w:tab w:val="left" w:pos="8033"/>
        </w:tabs>
        <w:jc w:val="left"/>
        <w:rPr>
          <w:rFonts w:ascii="方正黑体_GBK" w:eastAsia="方正黑体_GBK"/>
          <w:b/>
          <w:bCs/>
          <w:color w:val="3D3D3D"/>
          <w:kern w:val="0"/>
          <w:sz w:val="15"/>
          <w:szCs w:val="15"/>
        </w:rPr>
      </w:pPr>
    </w:p>
    <w:p w:rsidR="00C65800" w:rsidRDefault="00C65800" w:rsidP="00C6580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65800" w:rsidRDefault="00C65800" w:rsidP="00C65800">
      <w:pPr>
        <w:ind w:firstLineChars="200" w:firstLine="321"/>
        <w:jc w:val="center"/>
        <w:rPr>
          <w:rFonts w:ascii="宋体" w:hAnsi="宋体"/>
          <w:b/>
          <w:i/>
          <w:sz w:val="16"/>
          <w:szCs w:val="15"/>
          <w:u w:val="single"/>
        </w:rPr>
      </w:pPr>
    </w:p>
    <w:p w:rsidR="00C65800" w:rsidRDefault="00C65800" w:rsidP="00C65800">
      <w:pPr>
        <w:ind w:firstLineChars="200" w:firstLine="321"/>
        <w:jc w:val="center"/>
        <w:rPr>
          <w:rFonts w:ascii="宋体" w:hAnsi="宋体"/>
          <w:b/>
          <w:i/>
          <w:sz w:val="16"/>
          <w:szCs w:val="15"/>
          <w:u w:val="single"/>
        </w:rPr>
      </w:pPr>
      <w:r>
        <w:rPr>
          <w:rFonts w:ascii="宋体" w:hAnsi="宋体" w:hint="eastAsia"/>
          <w:b/>
          <w:i/>
          <w:sz w:val="16"/>
          <w:szCs w:val="15"/>
          <w:u w:val="single"/>
        </w:rPr>
        <w:t xml:space="preserve">“理财非存款、产品有风险、理财产品过往业绩不代表其未来表现，不等于理财产品实际收益，投资须谨慎！” </w:t>
      </w:r>
    </w:p>
    <w:p w:rsidR="00C65800" w:rsidRDefault="00C65800" w:rsidP="00C65800">
      <w:pPr>
        <w:pStyle w:val="a8"/>
        <w:spacing w:before="0" w:after="0" w:line="240" w:lineRule="auto"/>
        <w:ind w:firstLine="0"/>
        <w:rPr>
          <w:spacing w:val="10"/>
          <w:kern w:val="2"/>
          <w:sz w:val="15"/>
          <w:szCs w:val="15"/>
        </w:rPr>
      </w:pPr>
      <w:r>
        <w:rPr>
          <w:rFonts w:hint="eastAsia"/>
          <w:spacing w:val="10"/>
          <w:kern w:val="2"/>
          <w:sz w:val="15"/>
          <w:szCs w:val="15"/>
        </w:rPr>
        <w:t>尊敬的投资者：</w:t>
      </w:r>
    </w:p>
    <w:p w:rsidR="00C65800" w:rsidRDefault="00C65800" w:rsidP="00C65800">
      <w:pPr>
        <w:pStyle w:val="a8"/>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65800" w:rsidRDefault="00C65800" w:rsidP="00C65800">
      <w:pPr>
        <w:pStyle w:val="a8"/>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65800" w:rsidRDefault="00C65800" w:rsidP="00C65800">
      <w:pPr>
        <w:pStyle w:val="a8"/>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65800" w:rsidRDefault="00C65800" w:rsidP="00C65800">
      <w:pPr>
        <w:pStyle w:val="a8"/>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65800" w:rsidRDefault="00C65800" w:rsidP="00C65800">
      <w:pPr>
        <w:pStyle w:val="a8"/>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65800" w:rsidRDefault="00C65800" w:rsidP="00C65800">
      <w:pPr>
        <w:pStyle w:val="a8"/>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65800" w:rsidRDefault="00C65800" w:rsidP="00C65800">
      <w:pPr>
        <w:pStyle w:val="a8"/>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65800" w:rsidRDefault="00C65800" w:rsidP="00C65800">
      <w:pPr>
        <w:pStyle w:val="a8"/>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65800" w:rsidRDefault="00C65800" w:rsidP="00C65800">
      <w:pPr>
        <w:pStyle w:val="a8"/>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65800" w:rsidRDefault="00C65800" w:rsidP="00C65800">
      <w:pPr>
        <w:pStyle w:val="a8"/>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65800" w:rsidRDefault="00C65800" w:rsidP="00C65800">
      <w:pPr>
        <w:pStyle w:val="a8"/>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65800" w:rsidRDefault="00C65800" w:rsidP="00C65800">
      <w:pPr>
        <w:pStyle w:val="a8"/>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65800" w:rsidRDefault="00C65800" w:rsidP="00C65800">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65800" w:rsidRDefault="00C65800" w:rsidP="00C65800">
      <w:pPr>
        <w:pStyle w:val="a8"/>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65800" w:rsidRDefault="00C65800" w:rsidP="00C65800">
      <w:pPr>
        <w:pStyle w:val="a8"/>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65800" w:rsidRDefault="00C65800" w:rsidP="00C65800">
      <w:pPr>
        <w:pStyle w:val="a8"/>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65800" w:rsidRDefault="00C65800" w:rsidP="00C65800">
      <w:pPr>
        <w:pStyle w:val="a8"/>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65800" w:rsidRDefault="00C65800" w:rsidP="00C65800">
      <w:pPr>
        <w:pStyle w:val="a8"/>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65800" w:rsidRDefault="00C65800" w:rsidP="00C65800">
      <w:pPr>
        <w:pStyle w:val="a8"/>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65800" w:rsidRDefault="00C65800" w:rsidP="00C65800">
      <w:pPr>
        <w:pStyle w:val="a8"/>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65800" w:rsidRDefault="00C65800" w:rsidP="00C65800">
      <w:pPr>
        <w:pStyle w:val="a8"/>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65800" w:rsidRDefault="00C65800" w:rsidP="00C65800">
      <w:pPr>
        <w:pStyle w:val="a8"/>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65800" w:rsidRDefault="00C65800" w:rsidP="00C65800">
      <w:pPr>
        <w:pStyle w:val="a8"/>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65800" w:rsidRPr="009807FC" w:rsidRDefault="00C65800" w:rsidP="00C65800">
      <w:pPr>
        <w:pStyle w:val="a8"/>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65800" w:rsidRPr="009807FC" w:rsidRDefault="00C65800" w:rsidP="00C65800">
      <w:pPr>
        <w:pStyle w:val="a8"/>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65800" w:rsidRPr="009807FC" w:rsidRDefault="00C65800" w:rsidP="00C65800">
      <w:pPr>
        <w:pStyle w:val="a8"/>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65800" w:rsidRPr="009807FC" w:rsidRDefault="00C65800" w:rsidP="00C65800">
      <w:pPr>
        <w:pStyle w:val="a8"/>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65800" w:rsidRPr="009807FC" w:rsidRDefault="00C65800" w:rsidP="00C65800">
      <w:pPr>
        <w:pStyle w:val="a8"/>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65800" w:rsidRPr="009807FC" w:rsidRDefault="00C65800" w:rsidP="00C65800">
      <w:pPr>
        <w:pStyle w:val="a8"/>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65800" w:rsidRDefault="00C65800" w:rsidP="00C65800">
      <w:pPr>
        <w:pStyle w:val="a8"/>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65800" w:rsidRDefault="00C65800" w:rsidP="00C65800">
      <w:pPr>
        <w:pStyle w:val="a8"/>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65800" w:rsidRDefault="00C65800" w:rsidP="00C65800">
      <w:pPr>
        <w:pStyle w:val="a8"/>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65800" w:rsidRDefault="00C65800" w:rsidP="00C65800">
      <w:pPr>
        <w:pStyle w:val="a8"/>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65800" w:rsidRDefault="00C65800" w:rsidP="00C65800">
      <w:pPr>
        <w:pStyle w:val="a8"/>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65800" w:rsidRDefault="00C65800" w:rsidP="00C65800">
      <w:pPr>
        <w:pStyle w:val="a8"/>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65800" w:rsidRDefault="00C65800" w:rsidP="00C65800">
      <w:pPr>
        <w:pStyle w:val="a8"/>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65800" w:rsidRDefault="00C65800" w:rsidP="00C65800">
      <w:pPr>
        <w:pStyle w:val="a8"/>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65800" w:rsidRDefault="00C65800" w:rsidP="00C65800">
      <w:pPr>
        <w:pStyle w:val="a8"/>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65800" w:rsidRDefault="00C65800" w:rsidP="00C65800">
      <w:pPr>
        <w:pStyle w:val="a8"/>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65800" w:rsidRDefault="00C65800" w:rsidP="00C65800">
      <w:pPr>
        <w:pStyle w:val="a8"/>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65800" w:rsidRDefault="00C65800" w:rsidP="00C65800">
      <w:pPr>
        <w:pStyle w:val="a8"/>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65800" w:rsidRDefault="00C65800" w:rsidP="00C65800">
      <w:pPr>
        <w:pStyle w:val="a8"/>
        <w:spacing w:before="0" w:after="0" w:line="240" w:lineRule="auto"/>
        <w:ind w:firstLineChars="198" w:firstLine="338"/>
        <w:jc w:val="both"/>
        <w:rPr>
          <w:b/>
          <w:bCs/>
          <w:spacing w:val="10"/>
          <w:kern w:val="2"/>
          <w:sz w:val="15"/>
          <w:szCs w:val="15"/>
        </w:rPr>
      </w:pPr>
    </w:p>
    <w:p w:rsidR="00C65800" w:rsidRDefault="00C65800" w:rsidP="00C65800">
      <w:pPr>
        <w:pStyle w:val="a8"/>
        <w:spacing w:before="0" w:after="0" w:line="240" w:lineRule="auto"/>
        <w:ind w:firstLineChars="198" w:firstLine="338"/>
        <w:jc w:val="both"/>
        <w:rPr>
          <w:b/>
          <w:bCs/>
          <w:spacing w:val="10"/>
          <w:kern w:val="2"/>
          <w:sz w:val="15"/>
          <w:szCs w:val="15"/>
        </w:rPr>
      </w:pPr>
    </w:p>
    <w:p w:rsidR="00C65800" w:rsidRDefault="00C65800" w:rsidP="00C65800">
      <w:pPr>
        <w:pStyle w:val="a8"/>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65800"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65800"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65800"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r>
      <w:tr w:rsidR="00C65800"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65800" w:rsidRDefault="00C65800"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r>
      <w:tr w:rsidR="00C65800"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65800" w:rsidRDefault="00C65800"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r>
      <w:tr w:rsidR="00C65800"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r>
      <w:tr w:rsidR="00C65800"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65800" w:rsidRDefault="00C65800"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65800" w:rsidRDefault="00C65800" w:rsidP="002D7160">
            <w:pPr>
              <w:widowControl/>
              <w:snapToGrid w:val="0"/>
              <w:jc w:val="center"/>
              <w:rPr>
                <w:rFonts w:ascii="宋体" w:hAnsi="宋体" w:cs="宋体"/>
                <w:kern w:val="0"/>
                <w:sz w:val="15"/>
                <w:szCs w:val="15"/>
              </w:rPr>
            </w:pPr>
            <w:r>
              <w:rPr>
                <w:rFonts w:hint="eastAsia"/>
                <w:spacing w:val="10"/>
                <w:sz w:val="15"/>
                <w:szCs w:val="15"/>
              </w:rPr>
              <w:t>×</w:t>
            </w:r>
          </w:p>
        </w:tc>
      </w:tr>
    </w:tbl>
    <w:p w:rsidR="00C65800" w:rsidRDefault="00C65800" w:rsidP="00C65800">
      <w:pPr>
        <w:pStyle w:val="a8"/>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65800" w:rsidRDefault="00C65800" w:rsidP="00C65800">
      <w:pPr>
        <w:pStyle w:val="a8"/>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65800" w:rsidRDefault="00C65800" w:rsidP="00C65800">
      <w:pPr>
        <w:pStyle w:val="a8"/>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65800" w:rsidRDefault="00C65800" w:rsidP="00C65800">
      <w:pPr>
        <w:pStyle w:val="a8"/>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65800" w:rsidRDefault="00C65800" w:rsidP="00C65800">
      <w:pPr>
        <w:pStyle w:val="a8"/>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65800" w:rsidRDefault="00C65800" w:rsidP="00C65800">
      <w:pPr>
        <w:pStyle w:val="a8"/>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65800" w:rsidRDefault="00C65800" w:rsidP="00C65800">
      <w:pPr>
        <w:pStyle w:val="a8"/>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65800" w:rsidRDefault="00C65800" w:rsidP="00C65800">
      <w:pPr>
        <w:pStyle w:val="a8"/>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65800" w:rsidRDefault="00C65800" w:rsidP="00C65800">
      <w:pPr>
        <w:pStyle w:val="a8"/>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65800" w:rsidRDefault="00C65800" w:rsidP="00C65800">
      <w:pPr>
        <w:pStyle w:val="a8"/>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65800" w:rsidRDefault="00C65800" w:rsidP="00C65800">
      <w:pPr>
        <w:pStyle w:val="a8"/>
        <w:spacing w:before="0" w:after="0" w:line="240" w:lineRule="auto"/>
        <w:ind w:firstLineChars="200" w:firstLine="341"/>
        <w:rPr>
          <w:b/>
          <w:spacing w:val="10"/>
          <w:kern w:val="2"/>
          <w:sz w:val="15"/>
          <w:szCs w:val="15"/>
        </w:rPr>
      </w:pPr>
    </w:p>
    <w:p w:rsidR="00C65800" w:rsidRDefault="00C65800" w:rsidP="00C65800">
      <w:pPr>
        <w:pStyle w:val="a8"/>
        <w:spacing w:before="0" w:after="0" w:line="240" w:lineRule="auto"/>
        <w:ind w:firstLine="0"/>
        <w:jc w:val="both"/>
        <w:rPr>
          <w:b/>
          <w:spacing w:val="10"/>
          <w:kern w:val="2"/>
          <w:sz w:val="15"/>
          <w:szCs w:val="15"/>
          <w:u w:val="single"/>
        </w:rPr>
      </w:pPr>
    </w:p>
    <w:p w:rsidR="00C65800" w:rsidRDefault="00C65800" w:rsidP="00C65800">
      <w:pPr>
        <w:pStyle w:val="a8"/>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65800" w:rsidRDefault="00C65800" w:rsidP="00C65800">
      <w:pPr>
        <w:ind w:firstLineChars="200" w:firstLine="341"/>
        <w:rPr>
          <w:b/>
          <w:spacing w:val="10"/>
          <w:sz w:val="15"/>
          <w:szCs w:val="15"/>
          <w:u w:val="single"/>
        </w:rPr>
        <w:sectPr w:rsidR="00C6580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r>
        <w:rPr>
          <w:rFonts w:eastAsia="黑体"/>
          <w:b/>
          <w:bCs/>
          <w:sz w:val="24"/>
          <w:szCs w:val="15"/>
        </w:rPr>
        <w:t>理财产品销售协议书</w:t>
      </w: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p>
    <w:p w:rsidR="00C65800" w:rsidRDefault="00C65800" w:rsidP="00C65800">
      <w:pPr>
        <w:tabs>
          <w:tab w:val="left" w:pos="0"/>
        </w:tabs>
        <w:jc w:val="center"/>
        <w:rPr>
          <w:szCs w:val="21"/>
        </w:rPr>
      </w:pPr>
      <w:r>
        <w:rPr>
          <w:szCs w:val="21"/>
        </w:rPr>
        <w:t>编制单位：</w:t>
      </w:r>
      <w:r>
        <w:rPr>
          <w:szCs w:val="21"/>
          <w:u w:val="single"/>
        </w:rPr>
        <w:t>南银理财有限责任公司</w:t>
      </w:r>
    </w:p>
    <w:p w:rsidR="00C65800" w:rsidRDefault="00C65800" w:rsidP="00C65800">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C65800" w:rsidRDefault="00C65800" w:rsidP="00C65800">
      <w:pPr>
        <w:adjustRightInd w:val="0"/>
        <w:snapToGrid w:val="0"/>
        <w:spacing w:line="0" w:lineRule="atLeast"/>
        <w:rPr>
          <w:b/>
          <w:bCs/>
          <w:szCs w:val="21"/>
        </w:rPr>
      </w:pPr>
      <w:r>
        <w:rPr>
          <w:b/>
          <w:bCs/>
          <w:szCs w:val="21"/>
        </w:rPr>
        <w:lastRenderedPageBreak/>
        <w:t>风险提示：</w:t>
      </w:r>
    </w:p>
    <w:p w:rsidR="00C65800" w:rsidRDefault="00C65800" w:rsidP="00C65800">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C65800" w:rsidRDefault="00C65800" w:rsidP="00C65800">
      <w:pPr>
        <w:tabs>
          <w:tab w:val="left" w:pos="7920"/>
          <w:tab w:val="left" w:pos="8100"/>
        </w:tabs>
        <w:spacing w:line="0" w:lineRule="atLeast"/>
        <w:rPr>
          <w:b/>
          <w:bCs/>
        </w:rPr>
      </w:pPr>
    </w:p>
    <w:p w:rsidR="00C65800" w:rsidRDefault="00C65800" w:rsidP="00C65800">
      <w:pPr>
        <w:spacing w:line="0" w:lineRule="atLeast"/>
        <w:jc w:val="center"/>
        <w:rPr>
          <w:rFonts w:eastAsia="黑体"/>
          <w:b/>
          <w:bCs/>
          <w:sz w:val="24"/>
          <w:szCs w:val="15"/>
        </w:rPr>
      </w:pPr>
    </w:p>
    <w:p w:rsidR="00C65800" w:rsidRDefault="00C65800" w:rsidP="00C65800">
      <w:pPr>
        <w:spacing w:line="0" w:lineRule="atLeast"/>
        <w:jc w:val="center"/>
        <w:rPr>
          <w:rFonts w:eastAsia="黑体"/>
          <w:b/>
          <w:bCs/>
          <w:sz w:val="24"/>
          <w:szCs w:val="15"/>
        </w:rPr>
      </w:pPr>
      <w:r>
        <w:rPr>
          <w:rFonts w:eastAsia="黑体"/>
          <w:b/>
          <w:bCs/>
          <w:sz w:val="24"/>
          <w:szCs w:val="15"/>
        </w:rPr>
        <w:t>理财产品销售协议书</w:t>
      </w:r>
    </w:p>
    <w:p w:rsidR="00C65800" w:rsidRDefault="00C65800" w:rsidP="00C65800">
      <w:pPr>
        <w:spacing w:line="200" w:lineRule="exact"/>
        <w:ind w:firstLineChars="200" w:firstLine="300"/>
        <w:rPr>
          <w:rFonts w:eastAsia="方正细黑一简体"/>
          <w:sz w:val="15"/>
          <w:szCs w:val="15"/>
        </w:rPr>
      </w:pPr>
    </w:p>
    <w:p w:rsidR="00C65800" w:rsidRDefault="00C65800" w:rsidP="00C6580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65800" w:rsidRDefault="00C65800" w:rsidP="00C65800">
      <w:pPr>
        <w:numPr>
          <w:ilvl w:val="0"/>
          <w:numId w:val="6"/>
        </w:numPr>
        <w:spacing w:line="200" w:lineRule="exact"/>
        <w:ind w:firstLineChars="200" w:firstLine="341"/>
        <w:rPr>
          <w:b/>
          <w:bCs/>
          <w:spacing w:val="10"/>
          <w:sz w:val="15"/>
          <w:szCs w:val="15"/>
        </w:rPr>
      </w:pPr>
      <w:r>
        <w:rPr>
          <w:b/>
          <w:bCs/>
          <w:spacing w:val="10"/>
          <w:sz w:val="15"/>
          <w:szCs w:val="15"/>
        </w:rPr>
        <w:t>名词释义</w:t>
      </w:r>
    </w:p>
    <w:p w:rsidR="00C65800" w:rsidRDefault="00C65800" w:rsidP="00C65800">
      <w:pPr>
        <w:pStyle w:val="12"/>
        <w:ind w:firstLine="340"/>
        <w:rPr>
          <w:spacing w:val="10"/>
          <w:sz w:val="15"/>
          <w:szCs w:val="15"/>
        </w:rPr>
      </w:pPr>
      <w:r>
        <w:rPr>
          <w:spacing w:val="10"/>
          <w:sz w:val="15"/>
          <w:szCs w:val="15"/>
        </w:rPr>
        <w:t>本协议项下用词与对应期次的《理财产品说明书》中相关用词含义一致，本协议另有说明的除外。</w:t>
      </w:r>
    </w:p>
    <w:p w:rsidR="00C65800" w:rsidRDefault="00C65800" w:rsidP="00C6580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C65800" w:rsidRDefault="00C65800" w:rsidP="00C6580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65800" w:rsidRDefault="00C65800" w:rsidP="00C6580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65800" w:rsidRDefault="00C65800" w:rsidP="00C6580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65800" w:rsidRDefault="00C65800" w:rsidP="00C6580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65800" w:rsidRDefault="00C65800" w:rsidP="00C6580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65800" w:rsidRDefault="00C65800" w:rsidP="00C6580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65800" w:rsidRDefault="00C65800" w:rsidP="00C6580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65800" w:rsidRDefault="00C65800" w:rsidP="00C6580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65800" w:rsidRDefault="00C65800" w:rsidP="00C6580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65800" w:rsidRDefault="00C65800" w:rsidP="00C6580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65800" w:rsidRDefault="00C65800" w:rsidP="00C6580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65800" w:rsidRDefault="00C65800" w:rsidP="00C65800">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C65800" w:rsidRDefault="00C65800" w:rsidP="00C6580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65800" w:rsidRDefault="00C65800" w:rsidP="00C6580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65800" w:rsidRDefault="00C65800" w:rsidP="00C6580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65800" w:rsidRDefault="00C65800" w:rsidP="00C6580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65800" w:rsidRDefault="00C65800" w:rsidP="00C6580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65800" w:rsidRDefault="00C65800" w:rsidP="00C6580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65800" w:rsidRDefault="00C65800" w:rsidP="00C6580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65800" w:rsidRDefault="00C65800" w:rsidP="00C6580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65800" w:rsidRDefault="00C65800" w:rsidP="00C6580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w:t>
      </w:r>
      <w:r>
        <w:rPr>
          <w:spacing w:val="10"/>
          <w:sz w:val="15"/>
          <w:szCs w:val="15"/>
        </w:rPr>
        <w:lastRenderedPageBreak/>
        <w:t>的行为。</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65800" w:rsidRDefault="00C65800" w:rsidP="00C65800">
      <w:pPr>
        <w:pStyle w:val="aa"/>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65800" w:rsidRDefault="00C65800" w:rsidP="00C6580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65800" w:rsidRDefault="00C65800" w:rsidP="00C6580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65800" w:rsidRDefault="00C65800" w:rsidP="00C6580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65800" w:rsidRDefault="00C65800" w:rsidP="00C6580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65800" w:rsidRDefault="00C65800" w:rsidP="00C6580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65800" w:rsidRDefault="00C65800" w:rsidP="00C6580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65800" w:rsidRDefault="00C65800" w:rsidP="00C6580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65800" w:rsidRDefault="00C65800" w:rsidP="00C6580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C65800" w:rsidRDefault="00C65800" w:rsidP="00C6580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65800" w:rsidRDefault="00C65800" w:rsidP="00C6580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65800" w:rsidRDefault="00C65800" w:rsidP="00C6580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65800" w:rsidRDefault="00C65800" w:rsidP="00C6580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65800" w:rsidRDefault="00C65800" w:rsidP="00C6580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65800" w:rsidRDefault="00C65800" w:rsidP="00C6580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65800" w:rsidRDefault="00C65800" w:rsidP="00C65800">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C65800" w:rsidRDefault="00C65800" w:rsidP="00C65800">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C65800" w:rsidRDefault="00C65800" w:rsidP="00C6580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65800" w:rsidRDefault="00C65800" w:rsidP="00C65800">
      <w:pPr>
        <w:pStyle w:val="12"/>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65800" w:rsidRDefault="00C65800" w:rsidP="00C65800">
      <w:pPr>
        <w:pStyle w:val="12"/>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65800" w:rsidRDefault="00C65800" w:rsidP="00C65800">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C65800" w:rsidRDefault="00C65800" w:rsidP="00C6580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其他管理人认为需要延期的情形；</w:t>
      </w:r>
    </w:p>
    <w:p w:rsidR="00C65800" w:rsidRDefault="00C65800" w:rsidP="00C65800">
      <w:pPr>
        <w:pStyle w:val="12"/>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C65800" w:rsidRDefault="00C65800" w:rsidP="00C6580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65800" w:rsidRDefault="00C65800" w:rsidP="00C65800">
      <w:pPr>
        <w:spacing w:line="200" w:lineRule="exact"/>
        <w:ind w:firstLineChars="200" w:firstLine="341"/>
        <w:rPr>
          <w:b/>
          <w:spacing w:val="10"/>
          <w:sz w:val="15"/>
          <w:szCs w:val="15"/>
        </w:rPr>
      </w:pPr>
      <w:r>
        <w:rPr>
          <w:rFonts w:hint="eastAsia"/>
          <w:b/>
          <w:spacing w:val="10"/>
          <w:sz w:val="15"/>
          <w:szCs w:val="15"/>
        </w:rPr>
        <w:lastRenderedPageBreak/>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65800" w:rsidRDefault="00C65800" w:rsidP="00C65800">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C65800" w:rsidRDefault="00C65800" w:rsidP="00C6580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65800" w:rsidRDefault="00C65800" w:rsidP="00C65800">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65800" w:rsidRDefault="00C65800" w:rsidP="00C6580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C65800" w:rsidRDefault="00C65800" w:rsidP="00C6580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C65800" w:rsidRDefault="00C65800" w:rsidP="00C6580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65800" w:rsidRDefault="00C65800" w:rsidP="00C6580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65800" w:rsidRPr="00996FE5" w:rsidRDefault="00C65800" w:rsidP="00C6580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C65800" w:rsidRPr="00996FE5" w:rsidRDefault="00C65800" w:rsidP="00C65800">
      <w:pPr>
        <w:pStyle w:val="12"/>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65800" w:rsidRPr="00996FE5" w:rsidRDefault="00C65800" w:rsidP="00C65800">
      <w:pPr>
        <w:pStyle w:val="12"/>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65800" w:rsidRPr="00996FE5" w:rsidRDefault="00C65800" w:rsidP="00C65800">
      <w:pPr>
        <w:pStyle w:val="12"/>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65800" w:rsidRPr="00996FE5" w:rsidRDefault="00C65800" w:rsidP="00C65800">
      <w:pPr>
        <w:pStyle w:val="12"/>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65800" w:rsidRDefault="00C65800" w:rsidP="00C6580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65800" w:rsidRDefault="00C65800" w:rsidP="00C6580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65800" w:rsidRDefault="00C65800" w:rsidP="00C6580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65800" w:rsidRDefault="00C65800" w:rsidP="00C6580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65800" w:rsidRDefault="00C65800" w:rsidP="00C65800">
      <w:pPr>
        <w:pStyle w:val="12"/>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65800" w:rsidRDefault="00C65800" w:rsidP="00C65800">
      <w:pPr>
        <w:pStyle w:val="12"/>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65800" w:rsidRDefault="00C65800" w:rsidP="00C65800">
      <w:pPr>
        <w:numPr>
          <w:ilvl w:val="0"/>
          <w:numId w:val="12"/>
        </w:numPr>
        <w:spacing w:line="200" w:lineRule="exact"/>
        <w:ind w:firstLineChars="200" w:firstLine="340"/>
        <w:rPr>
          <w:spacing w:val="10"/>
          <w:sz w:val="15"/>
          <w:szCs w:val="15"/>
        </w:rPr>
      </w:pPr>
      <w:r>
        <w:rPr>
          <w:bCs/>
          <w:spacing w:val="10"/>
          <w:sz w:val="15"/>
          <w:szCs w:val="15"/>
        </w:rPr>
        <w:t>弃权</w:t>
      </w:r>
    </w:p>
    <w:p w:rsidR="00C65800" w:rsidRDefault="00C65800" w:rsidP="00C6580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65800" w:rsidRDefault="00C65800" w:rsidP="00C65800">
      <w:pPr>
        <w:numPr>
          <w:ilvl w:val="0"/>
          <w:numId w:val="12"/>
        </w:numPr>
        <w:spacing w:line="200" w:lineRule="exact"/>
        <w:ind w:firstLineChars="200" w:firstLine="340"/>
        <w:rPr>
          <w:spacing w:val="10"/>
          <w:sz w:val="15"/>
          <w:szCs w:val="15"/>
        </w:rPr>
      </w:pPr>
      <w:r>
        <w:rPr>
          <w:spacing w:val="10"/>
          <w:sz w:val="15"/>
          <w:szCs w:val="15"/>
        </w:rPr>
        <w:t>可分割性</w:t>
      </w:r>
    </w:p>
    <w:p w:rsidR="00C65800" w:rsidRDefault="00C65800" w:rsidP="00C6580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65800" w:rsidRDefault="00C65800" w:rsidP="00C65800">
      <w:pPr>
        <w:numPr>
          <w:ilvl w:val="0"/>
          <w:numId w:val="12"/>
        </w:numPr>
        <w:spacing w:line="200" w:lineRule="exact"/>
        <w:ind w:firstLineChars="200" w:firstLine="340"/>
        <w:rPr>
          <w:spacing w:val="10"/>
          <w:sz w:val="15"/>
          <w:szCs w:val="15"/>
        </w:rPr>
      </w:pPr>
      <w:r>
        <w:rPr>
          <w:spacing w:val="10"/>
          <w:sz w:val="15"/>
          <w:szCs w:val="15"/>
        </w:rPr>
        <w:t>税收条款</w:t>
      </w:r>
    </w:p>
    <w:p w:rsidR="00C65800" w:rsidRDefault="00C65800" w:rsidP="00C6580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65800" w:rsidRDefault="00C65800" w:rsidP="00C6580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C65800" w:rsidRDefault="00C65800" w:rsidP="00C6580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65800" w:rsidRDefault="00C65800" w:rsidP="00C6580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C65800" w:rsidRDefault="00C65800" w:rsidP="00C6580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65800" w:rsidRDefault="00C65800" w:rsidP="00C6580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C65800" w:rsidRDefault="00C65800" w:rsidP="00C6580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C65800" w:rsidRDefault="00C65800" w:rsidP="00C65800">
      <w:pPr>
        <w:numPr>
          <w:ilvl w:val="0"/>
          <w:numId w:val="15"/>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w:t>
      </w:r>
      <w:r>
        <w:rPr>
          <w:spacing w:val="10"/>
          <w:sz w:val="15"/>
          <w:szCs w:val="15"/>
        </w:rPr>
        <w:lastRenderedPageBreak/>
        <w:t>等），则以双方最近一次交易达成的交易内容为准。</w:t>
      </w:r>
    </w:p>
    <w:p w:rsidR="00C65800" w:rsidRDefault="00C65800" w:rsidP="00C6580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C65800" w:rsidRDefault="00C65800" w:rsidP="00C6580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65800" w:rsidRDefault="00C65800" w:rsidP="00C6580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65800" w:rsidRDefault="00C65800" w:rsidP="00C6580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65800" w:rsidRDefault="00C65800" w:rsidP="00C65800">
      <w:pPr>
        <w:spacing w:line="200" w:lineRule="exact"/>
        <w:ind w:firstLineChars="200" w:firstLine="340"/>
        <w:rPr>
          <w:spacing w:val="10"/>
          <w:sz w:val="15"/>
          <w:szCs w:val="15"/>
        </w:rPr>
      </w:pPr>
    </w:p>
    <w:p w:rsidR="00C65800" w:rsidRDefault="00C65800" w:rsidP="00C6580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65800" w:rsidTr="002D7160">
        <w:trPr>
          <w:jc w:val="center"/>
        </w:trPr>
        <w:tc>
          <w:tcPr>
            <w:tcW w:w="4812" w:type="dxa"/>
          </w:tcPr>
          <w:p w:rsidR="00C65800" w:rsidRDefault="00C65800" w:rsidP="002D7160">
            <w:pPr>
              <w:spacing w:line="200" w:lineRule="exact"/>
              <w:rPr>
                <w:spacing w:val="10"/>
                <w:sz w:val="15"/>
                <w:szCs w:val="15"/>
              </w:rPr>
            </w:pPr>
            <w:r>
              <w:rPr>
                <w:spacing w:val="10"/>
                <w:sz w:val="15"/>
                <w:szCs w:val="15"/>
              </w:rPr>
              <w:t>个人投资者（如适用）：</w:t>
            </w:r>
          </w:p>
        </w:tc>
        <w:tc>
          <w:tcPr>
            <w:tcW w:w="4713" w:type="dxa"/>
          </w:tcPr>
          <w:p w:rsidR="00C65800" w:rsidRDefault="00C65800" w:rsidP="002D7160">
            <w:pPr>
              <w:spacing w:line="200" w:lineRule="exact"/>
              <w:rPr>
                <w:spacing w:val="10"/>
                <w:sz w:val="15"/>
                <w:szCs w:val="15"/>
              </w:rPr>
            </w:pPr>
            <w:r>
              <w:rPr>
                <w:spacing w:val="10"/>
                <w:sz w:val="15"/>
                <w:szCs w:val="15"/>
              </w:rPr>
              <w:t>机构投资者（如适用）：</w:t>
            </w:r>
          </w:p>
        </w:tc>
      </w:tr>
      <w:tr w:rsidR="00C65800" w:rsidTr="002D7160">
        <w:trPr>
          <w:jc w:val="center"/>
        </w:trPr>
        <w:tc>
          <w:tcPr>
            <w:tcW w:w="4812" w:type="dxa"/>
          </w:tcPr>
          <w:p w:rsidR="00C65800" w:rsidRDefault="00C65800" w:rsidP="002D7160">
            <w:pPr>
              <w:spacing w:line="200" w:lineRule="exact"/>
              <w:ind w:firstLineChars="200" w:firstLine="340"/>
              <w:rPr>
                <w:spacing w:val="10"/>
                <w:sz w:val="15"/>
                <w:szCs w:val="15"/>
              </w:rPr>
            </w:pPr>
          </w:p>
          <w:p w:rsidR="00C65800" w:rsidRDefault="00C65800"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65800" w:rsidRDefault="00C65800" w:rsidP="002D7160">
            <w:pPr>
              <w:spacing w:line="200" w:lineRule="exact"/>
              <w:ind w:firstLineChars="400" w:firstLine="680"/>
              <w:rPr>
                <w:spacing w:val="10"/>
                <w:sz w:val="15"/>
                <w:szCs w:val="15"/>
              </w:rPr>
            </w:pPr>
          </w:p>
          <w:p w:rsidR="00C65800" w:rsidRDefault="00C65800" w:rsidP="002D7160">
            <w:pPr>
              <w:spacing w:line="200" w:lineRule="exact"/>
              <w:ind w:firstLineChars="500" w:firstLine="850"/>
              <w:rPr>
                <w:spacing w:val="10"/>
                <w:sz w:val="15"/>
                <w:szCs w:val="15"/>
              </w:rPr>
            </w:pPr>
          </w:p>
          <w:p w:rsidR="00C65800" w:rsidRDefault="00C65800" w:rsidP="002D7160">
            <w:pPr>
              <w:spacing w:line="200" w:lineRule="exact"/>
              <w:ind w:firstLineChars="500" w:firstLine="850"/>
              <w:rPr>
                <w:spacing w:val="10"/>
                <w:sz w:val="15"/>
                <w:szCs w:val="15"/>
              </w:rPr>
            </w:pPr>
            <w:r>
              <w:rPr>
                <w:spacing w:val="10"/>
                <w:sz w:val="15"/>
                <w:szCs w:val="15"/>
              </w:rPr>
              <w:t>年月日</w:t>
            </w:r>
          </w:p>
        </w:tc>
        <w:tc>
          <w:tcPr>
            <w:tcW w:w="4713" w:type="dxa"/>
          </w:tcPr>
          <w:p w:rsidR="00C65800" w:rsidRDefault="00C65800" w:rsidP="002D7160">
            <w:pPr>
              <w:spacing w:line="200" w:lineRule="exact"/>
              <w:ind w:firstLineChars="200" w:firstLine="340"/>
              <w:rPr>
                <w:spacing w:val="10"/>
                <w:sz w:val="15"/>
                <w:szCs w:val="15"/>
              </w:rPr>
            </w:pPr>
          </w:p>
          <w:p w:rsidR="00C65800" w:rsidRDefault="00C65800"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65800" w:rsidRDefault="00C65800" w:rsidP="002D7160">
            <w:pPr>
              <w:spacing w:line="200" w:lineRule="exact"/>
              <w:rPr>
                <w:spacing w:val="10"/>
                <w:sz w:val="15"/>
                <w:szCs w:val="15"/>
              </w:rPr>
            </w:pPr>
          </w:p>
          <w:p w:rsidR="00C65800" w:rsidRDefault="00C65800" w:rsidP="002D7160">
            <w:pPr>
              <w:spacing w:line="200" w:lineRule="exact"/>
              <w:rPr>
                <w:spacing w:val="10"/>
                <w:sz w:val="15"/>
                <w:szCs w:val="15"/>
              </w:rPr>
            </w:pPr>
          </w:p>
          <w:p w:rsidR="00C65800" w:rsidRDefault="00C65800"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65800" w:rsidRDefault="00C65800" w:rsidP="002D7160">
            <w:pPr>
              <w:spacing w:line="200" w:lineRule="exact"/>
              <w:ind w:firstLineChars="400" w:firstLine="680"/>
              <w:rPr>
                <w:spacing w:val="10"/>
                <w:sz w:val="15"/>
                <w:szCs w:val="15"/>
              </w:rPr>
            </w:pPr>
          </w:p>
          <w:p w:rsidR="00C65800" w:rsidRDefault="00C65800" w:rsidP="002D7160">
            <w:pPr>
              <w:spacing w:line="200" w:lineRule="exact"/>
              <w:ind w:firstLineChars="400" w:firstLine="680"/>
              <w:rPr>
                <w:spacing w:val="10"/>
                <w:sz w:val="15"/>
                <w:szCs w:val="15"/>
              </w:rPr>
            </w:pPr>
            <w:r>
              <w:rPr>
                <w:spacing w:val="10"/>
                <w:sz w:val="15"/>
                <w:szCs w:val="15"/>
              </w:rPr>
              <w:t>年月日</w:t>
            </w:r>
          </w:p>
        </w:tc>
      </w:tr>
    </w:tbl>
    <w:p w:rsidR="00C65800" w:rsidRDefault="00C65800" w:rsidP="00C65800">
      <w:pPr>
        <w:spacing w:line="200" w:lineRule="exact"/>
        <w:rPr>
          <w:spacing w:val="10"/>
          <w:sz w:val="15"/>
          <w:szCs w:val="15"/>
        </w:rPr>
      </w:pPr>
    </w:p>
    <w:p w:rsidR="00C65800" w:rsidRDefault="00C65800" w:rsidP="00C65800">
      <w:pPr>
        <w:pStyle w:val="13"/>
        <w:spacing w:line="360" w:lineRule="auto"/>
        <w:ind w:firstLineChars="0" w:firstLine="0"/>
        <w:jc w:val="center"/>
        <w:sectPr w:rsidR="00C65800">
          <w:headerReference w:type="default" r:id="rId8"/>
          <w:footerReference w:type="default" r:id="rId9"/>
          <w:pgSz w:w="11906" w:h="16838"/>
          <w:pgMar w:top="720" w:right="720" w:bottom="720" w:left="720" w:header="851" w:footer="992" w:gutter="0"/>
          <w:cols w:space="720"/>
          <w:docGrid w:type="lines" w:linePitch="312"/>
        </w:sectPr>
      </w:pPr>
    </w:p>
    <w:p w:rsidR="00C65800" w:rsidRDefault="00C65800" w:rsidP="00C65800">
      <w:pPr>
        <w:pStyle w:val="13"/>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65800"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65800" w:rsidRPr="002C6027"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65800" w:rsidRDefault="00C65800" w:rsidP="00C65800">
      <w:pPr>
        <w:pStyle w:val="13"/>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65800" w:rsidRDefault="00C65800" w:rsidP="00C65800">
      <w:pPr>
        <w:pStyle w:val="13"/>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65800" w:rsidRDefault="00C65800" w:rsidP="00C65800">
      <w:pPr>
        <w:pStyle w:val="13"/>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65800" w:rsidRDefault="00C65800" w:rsidP="00C65800">
      <w:pPr>
        <w:pStyle w:val="13"/>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65800" w:rsidRDefault="00C65800" w:rsidP="00C65800">
      <w:pPr>
        <w:pStyle w:val="13"/>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65800" w:rsidRDefault="00C65800" w:rsidP="00C65800">
      <w:pPr>
        <w:pStyle w:val="13"/>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65800" w:rsidRDefault="00C65800" w:rsidP="00C65800">
      <w:pPr>
        <w:pStyle w:val="13"/>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65800" w:rsidRDefault="00C65800" w:rsidP="00C65800">
      <w:pPr>
        <w:pStyle w:val="13"/>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65800"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65800"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65800" w:rsidRDefault="00C65800" w:rsidP="00C65800">
      <w:pPr>
        <w:pStyle w:val="13"/>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65800"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65800" w:rsidRDefault="00C65800" w:rsidP="00C65800">
      <w:pPr>
        <w:pStyle w:val="13"/>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65800" w:rsidRDefault="00C65800" w:rsidP="00C65800">
      <w:pPr>
        <w:pStyle w:val="13"/>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65800" w:rsidRDefault="00C65800" w:rsidP="00C65800">
      <w:pPr>
        <w:pStyle w:val="13"/>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65800" w:rsidRPr="00832DA9" w:rsidRDefault="00C65800" w:rsidP="00C65800">
      <w:pPr>
        <w:pStyle w:val="13"/>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65800" w:rsidRPr="00832DA9" w:rsidRDefault="00C65800" w:rsidP="00C65800">
      <w:pPr>
        <w:pStyle w:val="13"/>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65800" w:rsidRPr="00832DA9" w:rsidRDefault="00C65800" w:rsidP="00C65800">
      <w:pPr>
        <w:pStyle w:val="13"/>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65800" w:rsidRPr="00832DA9" w:rsidRDefault="00C65800" w:rsidP="00C65800">
      <w:pPr>
        <w:pStyle w:val="13"/>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65800" w:rsidRPr="00832DA9" w:rsidRDefault="00C65800" w:rsidP="00C65800">
      <w:pPr>
        <w:pStyle w:val="13"/>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65800" w:rsidRDefault="00C65800" w:rsidP="00C65800">
      <w:pPr>
        <w:pStyle w:val="13"/>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65800" w:rsidRDefault="00C65800" w:rsidP="00C65800">
      <w:pPr>
        <w:pStyle w:val="13"/>
        <w:spacing w:line="360" w:lineRule="auto"/>
        <w:ind w:firstLine="400"/>
        <w:rPr>
          <w:rFonts w:ascii="宋体" w:hAnsi="宋体" w:cs="宋体"/>
          <w:sz w:val="20"/>
          <w:szCs w:val="21"/>
        </w:rPr>
      </w:pPr>
    </w:p>
    <w:p w:rsidR="00C65800" w:rsidRDefault="00C65800" w:rsidP="00C65800">
      <w:pPr>
        <w:pStyle w:val="13"/>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65800" w:rsidRDefault="00C65800" w:rsidP="00C65800">
      <w:pPr>
        <w:pStyle w:val="13"/>
        <w:spacing w:line="360" w:lineRule="auto"/>
        <w:ind w:firstLine="400"/>
        <w:rPr>
          <w:rFonts w:ascii="宋体" w:hAnsi="宋体" w:cs="宋体"/>
          <w:sz w:val="20"/>
          <w:szCs w:val="21"/>
        </w:rPr>
      </w:pPr>
      <w:r>
        <w:rPr>
          <w:rFonts w:ascii="宋体" w:hAnsi="宋体" w:cs="宋体" w:hint="eastAsia"/>
          <w:sz w:val="20"/>
          <w:szCs w:val="21"/>
        </w:rPr>
        <w:t>（以下无正文）</w:t>
      </w:r>
    </w:p>
    <w:p w:rsidR="00C65800" w:rsidRDefault="00C65800" w:rsidP="00C65800">
      <w:pPr>
        <w:pStyle w:val="13"/>
        <w:spacing w:line="360" w:lineRule="auto"/>
        <w:ind w:firstLine="400"/>
        <w:rPr>
          <w:rFonts w:ascii="宋体" w:hAnsi="宋体" w:cs="宋体"/>
          <w:sz w:val="20"/>
          <w:szCs w:val="21"/>
        </w:rPr>
      </w:pPr>
    </w:p>
    <w:p w:rsidR="00C65800" w:rsidRDefault="00C65800" w:rsidP="00C65800">
      <w:pPr>
        <w:spacing w:line="360" w:lineRule="auto"/>
        <w:rPr>
          <w:rStyle w:val="fontstyle01"/>
          <w:rFonts w:hint="default"/>
          <w:sz w:val="20"/>
          <w:szCs w:val="21"/>
        </w:rPr>
      </w:pPr>
      <w:r>
        <w:rPr>
          <w:rStyle w:val="fontstyle01"/>
          <w:rFonts w:hint="default"/>
          <w:sz w:val="20"/>
          <w:szCs w:val="21"/>
        </w:rPr>
        <w:t>个人投资者（如适用）：                   机构投资者（如适用）：</w:t>
      </w:r>
    </w:p>
    <w:p w:rsidR="00C65800" w:rsidRDefault="00C65800" w:rsidP="00C65800">
      <w:pPr>
        <w:spacing w:line="360" w:lineRule="auto"/>
        <w:rPr>
          <w:rStyle w:val="fontstyle01"/>
          <w:rFonts w:hint="default"/>
          <w:sz w:val="20"/>
          <w:szCs w:val="21"/>
        </w:rPr>
      </w:pPr>
      <w:r>
        <w:rPr>
          <w:rStyle w:val="fontstyle01"/>
          <w:rFonts w:hint="default"/>
          <w:sz w:val="20"/>
          <w:szCs w:val="21"/>
        </w:rPr>
        <w:t>个人投资者： （签名或盖章）              机构投资者： （</w:t>
      </w:r>
      <w:r>
        <w:rPr>
          <w:rFonts w:ascii="宋体" w:hAnsi="宋体" w:cs="宋体" w:hint="eastAsia"/>
          <w:sz w:val="20"/>
          <w:szCs w:val="21"/>
        </w:rPr>
        <w:t>公章或合同专用章</w:t>
      </w:r>
      <w:r>
        <w:rPr>
          <w:rStyle w:val="fontstyle01"/>
          <w:rFonts w:hint="default"/>
          <w:sz w:val="20"/>
          <w:szCs w:val="21"/>
        </w:rPr>
        <w:t>）</w:t>
      </w:r>
    </w:p>
    <w:p w:rsidR="00C65800" w:rsidRDefault="00C65800" w:rsidP="00C65800">
      <w:pPr>
        <w:spacing w:line="360" w:lineRule="auto"/>
        <w:rPr>
          <w:rStyle w:val="fontstyle01"/>
          <w:rFonts w:hint="default"/>
          <w:sz w:val="20"/>
          <w:szCs w:val="21"/>
        </w:rPr>
      </w:pPr>
      <w:r>
        <w:rPr>
          <w:rStyle w:val="fontstyle01"/>
          <w:rFonts w:hint="default"/>
          <w:sz w:val="20"/>
          <w:szCs w:val="21"/>
        </w:rPr>
        <w:t xml:space="preserve">   年  月  日                           法定代表人或授权代理人：（签名或盖章）</w:t>
      </w:r>
    </w:p>
    <w:p w:rsidR="00C65800" w:rsidRDefault="00C65800" w:rsidP="00C65800">
      <w:pPr>
        <w:widowControl/>
        <w:jc w:val="left"/>
      </w:pPr>
      <w:r>
        <w:rPr>
          <w:rStyle w:val="fontstyle01"/>
          <w:rFonts w:hint="default"/>
          <w:sz w:val="20"/>
          <w:szCs w:val="21"/>
        </w:rPr>
        <w:t xml:space="preserve">                                            年    月   日</w:t>
      </w:r>
    </w:p>
    <w:p w:rsidR="00C65800" w:rsidRDefault="00C65800" w:rsidP="00C65800">
      <w:pPr>
        <w:pStyle w:val="a3"/>
        <w:ind w:firstLineChars="0" w:firstLine="0"/>
        <w:rPr>
          <w:b/>
          <w:kern w:val="0"/>
          <w:sz w:val="15"/>
          <w:szCs w:val="11"/>
        </w:rPr>
      </w:pPr>
    </w:p>
    <w:p w:rsidR="00C65800" w:rsidRDefault="00C65800" w:rsidP="00C65800">
      <w:pPr>
        <w:pStyle w:val="a3"/>
        <w:ind w:firstLine="301"/>
        <w:rPr>
          <w:rFonts w:ascii="宋体"/>
          <w:b/>
          <w:bCs/>
          <w:color w:val="3D3D3D"/>
          <w:kern w:val="0"/>
          <w:sz w:val="15"/>
          <w:szCs w:val="15"/>
        </w:rPr>
      </w:pPr>
    </w:p>
    <w:p w:rsidR="00C65800" w:rsidRDefault="00C65800" w:rsidP="00C65800">
      <w:pPr>
        <w:pStyle w:val="a3"/>
        <w:ind w:firstLine="301"/>
        <w:rPr>
          <w:rFonts w:ascii="宋体"/>
          <w:b/>
          <w:bCs/>
          <w:color w:val="3D3D3D"/>
          <w:kern w:val="0"/>
          <w:sz w:val="15"/>
          <w:szCs w:val="15"/>
        </w:rPr>
      </w:pPr>
    </w:p>
    <w:p w:rsidR="00C65800" w:rsidRPr="00C65800" w:rsidRDefault="00C65800">
      <w:pPr>
        <w:tabs>
          <w:tab w:val="left" w:pos="8033"/>
        </w:tabs>
        <w:jc w:val="left"/>
        <w:rPr>
          <w:rFonts w:ascii="方正黑体_GBK" w:eastAsia="方正黑体_GBK" w:hint="eastAsia"/>
        </w:rPr>
      </w:pPr>
    </w:p>
    <w:sectPr w:rsidR="00C65800" w:rsidRPr="00C65800">
      <w:headerReference w:type="default" r:id="rId10"/>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40" w:rsidRDefault="009B1040">
      <w:r>
        <w:separator/>
      </w:r>
    </w:p>
  </w:endnote>
  <w:endnote w:type="continuationSeparator" w:id="0">
    <w:p w:rsidR="009B1040" w:rsidRDefault="009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fixed"/>
    <w:sig w:usb0="00000001" w:usb1="080E0000" w:usb2="00000010" w:usb3="00000000" w:csb0="00040000" w:csb1="00000000"/>
  </w:font>
  <w:font w:name="Dialog">
    <w:altName w:val="Cambria"/>
    <w:charset w:val="00"/>
    <w:family w:val="roman"/>
    <w:pitch w:val="default"/>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00" w:rsidRDefault="00C6580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40" w:rsidRDefault="009B1040">
      <w:r>
        <w:separator/>
      </w:r>
    </w:p>
  </w:footnote>
  <w:footnote w:type="continuationSeparator" w:id="0">
    <w:p w:rsidR="009B1040" w:rsidRDefault="009B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00" w:rsidRDefault="00C65800">
    <w:pPr>
      <w:pStyle w:val="a6"/>
      <w:pBdr>
        <w:bottom w:val="single" w:sz="4" w:space="2" w:color="000000"/>
      </w:pBdr>
      <w:ind w:right="360" w:firstLine="44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w:t>
    </w:r>
    <w:r>
      <w:rPr>
        <w:rFonts w:hint="eastAsia"/>
        <w:sz w:val="22"/>
        <w:szCs w:val="24"/>
      </w:rPr>
      <w:t>2021</w:t>
    </w:r>
    <w:r>
      <w:rPr>
        <w:rFonts w:hint="eastAsia"/>
        <w:sz w:val="22"/>
        <w:szCs w:val="24"/>
      </w:rPr>
      <w:t>第</w:t>
    </w:r>
    <w:r>
      <w:rPr>
        <w:rFonts w:hint="eastAsia"/>
        <w:sz w:val="22"/>
        <w:szCs w:val="24"/>
      </w:rPr>
      <w:t>2</w:t>
    </w:r>
    <w:r>
      <w:rPr>
        <w:rFonts w:hint="eastAsia"/>
        <w:sz w:val="22"/>
        <w:szCs w:val="24"/>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78" w:rsidRDefault="005D5CC8">
    <w:pPr>
      <w:pStyle w:val="a6"/>
      <w:pBdr>
        <w:bottom w:val="single" w:sz="4" w:space="1" w:color="auto"/>
      </w:pBdr>
      <w:jc w:val="right"/>
    </w:pPr>
    <w:r>
      <w:t xml:space="preserve">   </w:t>
    </w:r>
    <w:r>
      <w:rPr>
        <w:rFonts w:ascii="宋体" w:hint="eastAsia"/>
      </w:rPr>
      <w:t>南银</w:t>
    </w:r>
    <w:proofErr w:type="gramStart"/>
    <w:r>
      <w:rPr>
        <w:rFonts w:ascii="宋体" w:hint="eastAsia"/>
      </w:rPr>
      <w:t>理财理财</w:t>
    </w:r>
    <w:proofErr w:type="gramEnd"/>
    <w:r>
      <w:rPr>
        <w:rFonts w:ascii="宋体" w:hint="eastAsia"/>
      </w:rPr>
      <w:t>产品销售文件（</w:t>
    </w:r>
    <w:r>
      <w:t>2021</w:t>
    </w:r>
    <w:r>
      <w:rPr>
        <w:rFonts w:ascii="宋体" w:hint="eastAsia"/>
      </w:rPr>
      <w:t>第</w:t>
    </w:r>
    <w:r>
      <w:t>2</w:t>
    </w:r>
    <w:r>
      <w:rPr>
        <w:rFonts w:ascii="宋体" w:hint="eastAsia"/>
      </w:rPr>
      <w:t>版）</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510A3506"/>
    <w:multiLevelType w:val="singleLevel"/>
    <w:tmpl w:val="510A3506"/>
    <w:lvl w:ilvl="0">
      <w:start w:val="1"/>
      <w:numFmt w:val="decimal"/>
      <w:suff w:val="nothing"/>
      <w:lvlText w:val="（%1）"/>
      <w:lvlJc w:val="left"/>
    </w:lvl>
  </w:abstractNum>
  <w:abstractNum w:abstractNumId="5"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5DF84C9C"/>
    <w:multiLevelType w:val="singleLevel"/>
    <w:tmpl w:val="5DF84C9C"/>
    <w:lvl w:ilvl="0">
      <w:start w:val="1"/>
      <w:numFmt w:val="decimal"/>
      <w:suff w:val="nothing"/>
      <w:lvlText w:val="%1."/>
      <w:lvlJc w:val="left"/>
    </w:lvl>
  </w:abstractNum>
  <w:abstractNum w:abstractNumId="7" w15:restartNumberingAfterBreak="0">
    <w:nsid w:val="5DF84CBD"/>
    <w:multiLevelType w:val="singleLevel"/>
    <w:tmpl w:val="5DF84CBD"/>
    <w:lvl w:ilvl="0">
      <w:start w:val="1"/>
      <w:numFmt w:val="decimal"/>
      <w:suff w:val="nothing"/>
      <w:lvlText w:val="（%1）"/>
      <w:lvlJc w:val="left"/>
    </w:lvl>
  </w:abstractNum>
  <w:abstractNum w:abstractNumId="8" w15:restartNumberingAfterBreak="0">
    <w:nsid w:val="5DF84D07"/>
    <w:multiLevelType w:val="singleLevel"/>
    <w:tmpl w:val="5DF84D07"/>
    <w:lvl w:ilvl="0">
      <w:start w:val="1"/>
      <w:numFmt w:val="decimal"/>
      <w:suff w:val="nothing"/>
      <w:lvlText w:val="（%1）"/>
      <w:lvlJc w:val="left"/>
    </w:lvl>
  </w:abstractNum>
  <w:abstractNum w:abstractNumId="9" w15:restartNumberingAfterBreak="0">
    <w:nsid w:val="659D0461"/>
    <w:multiLevelType w:val="multilevel"/>
    <w:tmpl w:val="659D0461"/>
    <w:lvl w:ilvl="0">
      <w:start w:val="1"/>
      <w:numFmt w:val="chineseCountingThousand"/>
      <w:lvlText w:val="（%1）"/>
      <w:legacy w:legacy="1" w:legacySpace="0" w:legacyIndent="420"/>
      <w:lvlJc w:val="left"/>
      <w:pPr>
        <w:ind w:left="704" w:hanging="420"/>
      </w:pPr>
      <w:rPr>
        <w:rFonts w:ascii="宋体" w:eastAsia="宋体" w:hAnsi="宋体" w:hint="eastAsia"/>
        <w:b w:val="0"/>
        <w:bCs w:val="0"/>
      </w:rPr>
    </w:lvl>
    <w:lvl w:ilvl="1">
      <w:start w:val="1"/>
      <w:numFmt w:val="lowerLetter"/>
      <w:lvlText w:val="%2)"/>
      <w:legacy w:legacy="1" w:legacySpace="0" w:legacyIndent="420"/>
      <w:lvlJc w:val="left"/>
      <w:pPr>
        <w:ind w:left="1124" w:hanging="420"/>
      </w:pPr>
      <w:rPr>
        <w:rFonts w:ascii="Times New Roman" w:hAnsi="Times New Roman" w:hint="default"/>
      </w:rPr>
    </w:lvl>
    <w:lvl w:ilvl="2">
      <w:start w:val="1"/>
      <w:numFmt w:val="decimal"/>
      <w:lvlText w:val="%3."/>
      <w:legacy w:legacy="1" w:legacySpace="0" w:legacyIndent="420"/>
      <w:lvlJc w:val="right"/>
      <w:pPr>
        <w:ind w:left="1544" w:hanging="420"/>
      </w:pPr>
      <w:rPr>
        <w:rFonts w:ascii="Times New Roman" w:hAnsi="Times New Roman" w:hint="default"/>
      </w:rPr>
    </w:lvl>
    <w:lvl w:ilvl="3">
      <w:start w:val="1"/>
      <w:numFmt w:val="decimal"/>
      <w:lvlText w:val="%4."/>
      <w:legacy w:legacy="1" w:legacySpace="0" w:legacyIndent="420"/>
      <w:lvlJc w:val="left"/>
      <w:pPr>
        <w:ind w:left="1964" w:hanging="420"/>
      </w:pPr>
      <w:rPr>
        <w:rFonts w:ascii="Times New Roman" w:hAnsi="Times New Roman" w:hint="default"/>
      </w:rPr>
    </w:lvl>
    <w:lvl w:ilvl="4">
      <w:start w:val="1"/>
      <w:numFmt w:val="lowerLetter"/>
      <w:lvlText w:val="%5)"/>
      <w:legacy w:legacy="1" w:legacySpace="0" w:legacyIndent="420"/>
      <w:lvlJc w:val="left"/>
      <w:pPr>
        <w:ind w:left="2384" w:hanging="420"/>
      </w:pPr>
      <w:rPr>
        <w:rFonts w:ascii="Times New Roman" w:hAnsi="Times New Roman" w:hint="default"/>
      </w:rPr>
    </w:lvl>
    <w:lvl w:ilvl="5">
      <w:start w:val="1"/>
      <w:numFmt w:val="decimal"/>
      <w:lvlText w:val="%6."/>
      <w:legacy w:legacy="1" w:legacySpace="0" w:legacyIndent="420"/>
      <w:lvlJc w:val="right"/>
      <w:pPr>
        <w:ind w:left="2804" w:hanging="420"/>
      </w:pPr>
      <w:rPr>
        <w:rFonts w:ascii="Times New Roman" w:hAnsi="Times New Roman" w:hint="default"/>
      </w:rPr>
    </w:lvl>
    <w:lvl w:ilvl="6">
      <w:start w:val="1"/>
      <w:numFmt w:val="decimal"/>
      <w:lvlText w:val="%7."/>
      <w:legacy w:legacy="1" w:legacySpace="0" w:legacyIndent="420"/>
      <w:lvlJc w:val="left"/>
      <w:pPr>
        <w:ind w:left="3224" w:hanging="420"/>
      </w:pPr>
      <w:rPr>
        <w:rFonts w:ascii="Times New Roman" w:hAnsi="Times New Roman" w:hint="default"/>
      </w:rPr>
    </w:lvl>
    <w:lvl w:ilvl="7">
      <w:start w:val="1"/>
      <w:numFmt w:val="lowerLetter"/>
      <w:lvlText w:val="%8)"/>
      <w:legacy w:legacy="1" w:legacySpace="0" w:legacyIndent="420"/>
      <w:lvlJc w:val="left"/>
      <w:pPr>
        <w:ind w:left="3644" w:hanging="420"/>
      </w:pPr>
      <w:rPr>
        <w:rFonts w:ascii="Times New Roman" w:hAnsi="Times New Roman" w:hint="default"/>
      </w:rPr>
    </w:lvl>
    <w:lvl w:ilvl="8">
      <w:start w:val="1"/>
      <w:numFmt w:val="decimal"/>
      <w:lvlText w:val="%9."/>
      <w:legacy w:legacy="1" w:legacySpace="0" w:legacyIndent="420"/>
      <w:lvlJc w:val="right"/>
      <w:pPr>
        <w:ind w:left="4064" w:hanging="420"/>
      </w:pPr>
      <w:rPr>
        <w:rFonts w:ascii="Times New Roman" w:hAnsi="Times New Roman" w:hint="default"/>
      </w:rPr>
    </w:lvl>
  </w:abstractNum>
  <w:abstractNum w:abstractNumId="10" w15:restartNumberingAfterBreak="0">
    <w:nsid w:val="659D046C"/>
    <w:multiLevelType w:val="multilevel"/>
    <w:tmpl w:val="659D046C"/>
    <w:lvl w:ilvl="0">
      <w:start w:val="1"/>
      <w:numFmt w:val="decimal"/>
      <w:lvlText w:val="（%1）"/>
      <w:legacy w:legacy="1" w:legacySpace="0" w:legacyIndent="420"/>
      <w:lvlJc w:val="left"/>
      <w:pPr>
        <w:ind w:left="709" w:hanging="420"/>
      </w:pPr>
      <w:rPr>
        <w:rFonts w:ascii="Times New Roman" w:hAnsi="Times New Roman"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1" w15:restartNumberingAfterBreak="0">
    <w:nsid w:val="659D0477"/>
    <w:multiLevelType w:val="multilevel"/>
    <w:tmpl w:val="659D0477"/>
    <w:lvl w:ilvl="0">
      <w:start w:val="1"/>
      <w:numFmt w:val="japaneseCounting"/>
      <w:lvlText w:val="（%1）"/>
      <w:lvlJc w:val="left"/>
      <w:pPr>
        <w:tabs>
          <w:tab w:val="left" w:pos="0"/>
        </w:tabs>
        <w:ind w:left="1021" w:hanging="720"/>
      </w:pPr>
      <w:rPr>
        <w:rFonts w:ascii="Times New Roman" w:hAnsi="Times New Roman" w:hint="default"/>
      </w:rPr>
    </w:lvl>
    <w:lvl w:ilvl="1">
      <w:start w:val="1"/>
      <w:numFmt w:val="lowerLetter"/>
      <w:lvlText w:val="%2)"/>
      <w:lvlJc w:val="left"/>
      <w:pPr>
        <w:tabs>
          <w:tab w:val="left" w:pos="0"/>
        </w:tabs>
        <w:ind w:left="1141" w:hanging="420"/>
      </w:pPr>
      <w:rPr>
        <w:rFonts w:ascii="Times New Roman" w:hAnsi="Times New Roman" w:hint="default"/>
      </w:rPr>
    </w:lvl>
    <w:lvl w:ilvl="2">
      <w:start w:val="1"/>
      <w:numFmt w:val="decimal"/>
      <w:lvlText w:val="%3."/>
      <w:lvlJc w:val="right"/>
      <w:pPr>
        <w:tabs>
          <w:tab w:val="left" w:pos="0"/>
        </w:tabs>
        <w:ind w:left="1561" w:hanging="420"/>
      </w:pPr>
      <w:rPr>
        <w:rFonts w:ascii="Times New Roman" w:hAnsi="Times New Roman" w:hint="default"/>
      </w:rPr>
    </w:lvl>
    <w:lvl w:ilvl="3">
      <w:start w:val="1"/>
      <w:numFmt w:val="decimal"/>
      <w:lvlText w:val="%4."/>
      <w:lvlJc w:val="left"/>
      <w:pPr>
        <w:tabs>
          <w:tab w:val="left" w:pos="0"/>
        </w:tabs>
        <w:ind w:left="1981" w:hanging="420"/>
      </w:pPr>
      <w:rPr>
        <w:rFonts w:ascii="Times New Roman" w:hAnsi="Times New Roman" w:hint="default"/>
      </w:rPr>
    </w:lvl>
    <w:lvl w:ilvl="4">
      <w:start w:val="1"/>
      <w:numFmt w:val="lowerLetter"/>
      <w:lvlText w:val="%5)"/>
      <w:lvlJc w:val="left"/>
      <w:pPr>
        <w:tabs>
          <w:tab w:val="left" w:pos="0"/>
        </w:tabs>
        <w:ind w:left="2401" w:hanging="420"/>
      </w:pPr>
      <w:rPr>
        <w:rFonts w:ascii="Times New Roman" w:hAnsi="Times New Roman" w:hint="default"/>
      </w:rPr>
    </w:lvl>
    <w:lvl w:ilvl="5">
      <w:start w:val="1"/>
      <w:numFmt w:val="decimal"/>
      <w:lvlText w:val="%6."/>
      <w:lvlJc w:val="right"/>
      <w:pPr>
        <w:tabs>
          <w:tab w:val="left" w:pos="0"/>
        </w:tabs>
        <w:ind w:left="2821" w:hanging="420"/>
      </w:pPr>
      <w:rPr>
        <w:rFonts w:ascii="Times New Roman" w:hAnsi="Times New Roman" w:hint="default"/>
      </w:rPr>
    </w:lvl>
    <w:lvl w:ilvl="6">
      <w:start w:val="1"/>
      <w:numFmt w:val="decimal"/>
      <w:lvlText w:val="%7."/>
      <w:lvlJc w:val="left"/>
      <w:pPr>
        <w:tabs>
          <w:tab w:val="left" w:pos="0"/>
        </w:tabs>
        <w:ind w:left="3241" w:hanging="420"/>
      </w:pPr>
      <w:rPr>
        <w:rFonts w:ascii="Times New Roman" w:hAnsi="Times New Roman" w:hint="default"/>
      </w:rPr>
    </w:lvl>
    <w:lvl w:ilvl="7">
      <w:start w:val="1"/>
      <w:numFmt w:val="lowerLetter"/>
      <w:lvlText w:val="%8)"/>
      <w:lvlJc w:val="left"/>
      <w:pPr>
        <w:tabs>
          <w:tab w:val="left" w:pos="0"/>
        </w:tabs>
        <w:ind w:left="3661" w:hanging="420"/>
      </w:pPr>
      <w:rPr>
        <w:rFonts w:ascii="Times New Roman" w:hAnsi="Times New Roman" w:hint="default"/>
      </w:rPr>
    </w:lvl>
    <w:lvl w:ilvl="8">
      <w:start w:val="1"/>
      <w:numFmt w:val="decimal"/>
      <w:lvlText w:val="%9."/>
      <w:lvlJc w:val="right"/>
      <w:pPr>
        <w:tabs>
          <w:tab w:val="left" w:pos="0"/>
        </w:tabs>
        <w:ind w:left="4081" w:hanging="420"/>
      </w:pPr>
      <w:rPr>
        <w:rFonts w:ascii="Times New Roman" w:hAnsi="Times New Roman" w:hint="default"/>
      </w:rPr>
    </w:lvl>
  </w:abstractNum>
  <w:abstractNum w:abstractNumId="12" w15:restartNumberingAfterBreak="0">
    <w:nsid w:val="659D0482"/>
    <w:multiLevelType w:val="multilevel"/>
    <w:tmpl w:val="659D0482"/>
    <w:lvl w:ilvl="0">
      <w:start w:val="1"/>
      <w:numFmt w:val="decimal"/>
      <w:lvlText w:val="%1."/>
      <w:lvlJc w:val="left"/>
      <w:pPr>
        <w:tabs>
          <w:tab w:val="left" w:pos="0"/>
        </w:tabs>
        <w:ind w:left="660" w:hanging="360"/>
      </w:pPr>
      <w:rPr>
        <w:rFonts w:ascii="Times New Roman" w:hAnsi="Times New Roman" w:hint="default"/>
      </w:rPr>
    </w:lvl>
    <w:lvl w:ilvl="1">
      <w:start w:val="1"/>
      <w:numFmt w:val="lowerLetter"/>
      <w:lvlText w:val="%2)"/>
      <w:lvlJc w:val="left"/>
      <w:pPr>
        <w:tabs>
          <w:tab w:val="left" w:pos="0"/>
        </w:tabs>
        <w:ind w:left="1140" w:hanging="420"/>
      </w:pPr>
      <w:rPr>
        <w:rFonts w:ascii="Times New Roman" w:hAnsi="Times New Roman" w:hint="default"/>
      </w:rPr>
    </w:lvl>
    <w:lvl w:ilvl="2">
      <w:start w:val="1"/>
      <w:numFmt w:val="decimal"/>
      <w:lvlText w:val="%3."/>
      <w:lvlJc w:val="right"/>
      <w:pPr>
        <w:tabs>
          <w:tab w:val="left" w:pos="0"/>
        </w:tabs>
        <w:ind w:left="1560" w:hanging="420"/>
      </w:pPr>
      <w:rPr>
        <w:rFonts w:ascii="Times New Roman" w:hAnsi="Times New Roman" w:hint="default"/>
      </w:rPr>
    </w:lvl>
    <w:lvl w:ilvl="3">
      <w:start w:val="1"/>
      <w:numFmt w:val="decimal"/>
      <w:lvlText w:val="%4."/>
      <w:lvlJc w:val="left"/>
      <w:pPr>
        <w:tabs>
          <w:tab w:val="left" w:pos="0"/>
        </w:tabs>
        <w:ind w:left="1980" w:hanging="420"/>
      </w:pPr>
      <w:rPr>
        <w:rFonts w:ascii="Times New Roman" w:hAnsi="Times New Roman" w:hint="default"/>
      </w:rPr>
    </w:lvl>
    <w:lvl w:ilvl="4">
      <w:start w:val="1"/>
      <w:numFmt w:val="lowerLetter"/>
      <w:lvlText w:val="%5)"/>
      <w:lvlJc w:val="left"/>
      <w:pPr>
        <w:tabs>
          <w:tab w:val="left" w:pos="0"/>
        </w:tabs>
        <w:ind w:left="2400" w:hanging="420"/>
      </w:pPr>
      <w:rPr>
        <w:rFonts w:ascii="Times New Roman" w:hAnsi="Times New Roman" w:hint="default"/>
      </w:rPr>
    </w:lvl>
    <w:lvl w:ilvl="5">
      <w:start w:val="1"/>
      <w:numFmt w:val="decimal"/>
      <w:lvlText w:val="%6."/>
      <w:lvlJc w:val="right"/>
      <w:pPr>
        <w:tabs>
          <w:tab w:val="left" w:pos="0"/>
        </w:tabs>
        <w:ind w:left="2820" w:hanging="420"/>
      </w:pPr>
      <w:rPr>
        <w:rFonts w:ascii="Times New Roman" w:hAnsi="Times New Roman" w:hint="default"/>
      </w:rPr>
    </w:lvl>
    <w:lvl w:ilvl="6">
      <w:start w:val="1"/>
      <w:numFmt w:val="decimal"/>
      <w:lvlText w:val="%7."/>
      <w:lvlJc w:val="left"/>
      <w:pPr>
        <w:tabs>
          <w:tab w:val="left" w:pos="0"/>
        </w:tabs>
        <w:ind w:left="3240" w:hanging="420"/>
      </w:pPr>
      <w:rPr>
        <w:rFonts w:ascii="Times New Roman" w:hAnsi="Times New Roman" w:hint="default"/>
      </w:rPr>
    </w:lvl>
    <w:lvl w:ilvl="7">
      <w:start w:val="1"/>
      <w:numFmt w:val="lowerLetter"/>
      <w:lvlText w:val="%8)"/>
      <w:lvlJc w:val="left"/>
      <w:pPr>
        <w:tabs>
          <w:tab w:val="left" w:pos="0"/>
        </w:tabs>
        <w:ind w:left="3660" w:hanging="420"/>
      </w:pPr>
      <w:rPr>
        <w:rFonts w:ascii="Times New Roman" w:hAnsi="Times New Roman" w:hint="default"/>
      </w:rPr>
    </w:lvl>
    <w:lvl w:ilvl="8">
      <w:start w:val="1"/>
      <w:numFmt w:val="decimal"/>
      <w:lvlText w:val="%9."/>
      <w:lvlJc w:val="right"/>
      <w:pPr>
        <w:tabs>
          <w:tab w:val="left" w:pos="0"/>
        </w:tabs>
        <w:ind w:left="4080" w:hanging="420"/>
      </w:pPr>
      <w:rPr>
        <w:rFonts w:ascii="Times New Roman" w:hAnsi="Times New Roman"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10"/>
  </w:num>
  <w:num w:numId="3">
    <w:abstractNumId w:val="11"/>
  </w:num>
  <w:num w:numId="4">
    <w:abstractNumId w:val="12"/>
  </w:num>
  <w:num w:numId="5">
    <w:abstractNumId w:val="3"/>
  </w:num>
  <w:num w:numId="6">
    <w:abstractNumId w:val="6"/>
  </w:num>
  <w:num w:numId="7">
    <w:abstractNumId w:val="7"/>
  </w:num>
  <w:num w:numId="8">
    <w:abstractNumId w:val="8"/>
  </w:num>
  <w:num w:numId="9">
    <w:abstractNumId w:val="4"/>
  </w:num>
  <w:num w:numId="10">
    <w:abstractNumId w:val="5"/>
  </w:num>
  <w:num w:numId="11">
    <w:abstractNumId w:val="2"/>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172A27"/>
    <w:rsid w:val="00172A27"/>
    <w:rsid w:val="005D5CC8"/>
    <w:rsid w:val="006128D6"/>
    <w:rsid w:val="00825F03"/>
    <w:rsid w:val="0093038C"/>
    <w:rsid w:val="00931351"/>
    <w:rsid w:val="009B1040"/>
    <w:rsid w:val="00C65800"/>
    <w:rsid w:val="00D54453"/>
    <w:rsid w:val="00D74678"/>
    <w:rsid w:val="09CC0382"/>
    <w:rsid w:val="0D253E39"/>
    <w:rsid w:val="106350BE"/>
    <w:rsid w:val="12D15F53"/>
    <w:rsid w:val="1AD976A5"/>
    <w:rsid w:val="1C971AEA"/>
    <w:rsid w:val="1DFB202E"/>
    <w:rsid w:val="21DB252E"/>
    <w:rsid w:val="26797AAD"/>
    <w:rsid w:val="26933908"/>
    <w:rsid w:val="26BC6F0A"/>
    <w:rsid w:val="29EF5C0B"/>
    <w:rsid w:val="2E3E673A"/>
    <w:rsid w:val="3129602D"/>
    <w:rsid w:val="3792751D"/>
    <w:rsid w:val="3C0F7338"/>
    <w:rsid w:val="45AA0B48"/>
    <w:rsid w:val="49175E55"/>
    <w:rsid w:val="4A061C4F"/>
    <w:rsid w:val="4D0000F5"/>
    <w:rsid w:val="507D4CB7"/>
    <w:rsid w:val="55382B67"/>
    <w:rsid w:val="57FD1EBF"/>
    <w:rsid w:val="5C870CF1"/>
    <w:rsid w:val="5F2443BB"/>
    <w:rsid w:val="61F16641"/>
    <w:rsid w:val="65843EC4"/>
    <w:rsid w:val="67127451"/>
    <w:rsid w:val="67AF0E75"/>
    <w:rsid w:val="6C3A3009"/>
    <w:rsid w:val="6E2A123A"/>
    <w:rsid w:val="79BA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3A8D"/>
  <w15:docId w15:val="{6F69F399-4ADB-4A2D-8110-5C00BEE5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18"/>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5">
    <w:name w:val="toc 5"/>
    <w:basedOn w:val="a"/>
    <w:next w:val="a"/>
    <w:qFormat/>
    <w:pPr>
      <w:ind w:left="1680"/>
    </w:pPr>
  </w:style>
  <w:style w:type="paragraph" w:styleId="30">
    <w:name w:val="toc 3"/>
    <w:basedOn w:val="a"/>
    <w:next w:val="a"/>
    <w:qFormat/>
    <w:pPr>
      <w:ind w:left="840"/>
    </w:pPr>
  </w:style>
  <w:style w:type="paragraph" w:styleId="a4">
    <w:name w:val="footer"/>
    <w:basedOn w:val="a"/>
    <w:link w:val="a5"/>
    <w:qFormat/>
    <w:pPr>
      <w:tabs>
        <w:tab w:val="center" w:pos="4153"/>
        <w:tab w:val="right" w:pos="8307"/>
      </w:tabs>
      <w:snapToGrid w:val="0"/>
      <w:jc w:val="left"/>
    </w:pPr>
  </w:style>
  <w:style w:type="paragraph" w:styleId="a6">
    <w:name w:val="header"/>
    <w:basedOn w:val="a"/>
    <w:link w:val="a7"/>
    <w:qFormat/>
    <w:pPr>
      <w:pBdr>
        <w:bottom w:val="single" w:sz="6" w:space="1" w:color="auto"/>
      </w:pBdr>
      <w:tabs>
        <w:tab w:val="center" w:pos="4153"/>
        <w:tab w:val="right" w:pos="8307"/>
      </w:tabs>
      <w:snapToGrid w:val="0"/>
      <w:jc w:val="center"/>
    </w:pPr>
  </w:style>
  <w:style w:type="paragraph" w:styleId="10">
    <w:name w:val="toc 1"/>
    <w:basedOn w:val="a"/>
    <w:next w:val="a"/>
    <w:qFormat/>
  </w:style>
  <w:style w:type="paragraph" w:styleId="4">
    <w:name w:val="toc 4"/>
    <w:basedOn w:val="a"/>
    <w:next w:val="a"/>
    <w:qFormat/>
    <w:pPr>
      <w:ind w:left="1260"/>
    </w:pPr>
  </w:style>
  <w:style w:type="paragraph" w:styleId="20">
    <w:name w:val="toc 2"/>
    <w:basedOn w:val="a"/>
    <w:next w:val="a"/>
    <w:qFormat/>
    <w:pPr>
      <w:ind w:left="420"/>
    </w:pPr>
  </w:style>
  <w:style w:type="paragraph" w:styleId="a8">
    <w:name w:val="Normal (Web)"/>
    <w:next w:val="10"/>
    <w:qFormat/>
    <w:pPr>
      <w:spacing w:before="102" w:after="102" w:line="1099" w:lineRule="atLeast"/>
      <w:ind w:firstLine="419"/>
      <w:textAlignment w:val="baseline"/>
    </w:pPr>
    <w:rPr>
      <w:sz w:val="24"/>
      <w:szCs w:val="24"/>
    </w:rPr>
  </w:style>
  <w:style w:type="character" w:styleId="a9">
    <w:name w:val="Strong"/>
    <w:basedOn w:val="a0"/>
    <w:qFormat/>
    <w:rPr>
      <w:b/>
    </w:rPr>
  </w:style>
  <w:style w:type="paragraph" w:customStyle="1" w:styleId="11">
    <w:name w:val="引文目录1"/>
    <w:next w:val="a"/>
    <w:qFormat/>
    <w:pPr>
      <w:widowControl w:val="0"/>
      <w:spacing w:before="100" w:beforeAutospacing="1" w:after="100" w:afterAutospacing="1"/>
      <w:ind w:leftChars="200" w:left="200"/>
      <w:jc w:val="both"/>
      <w:textAlignment w:val="baseline"/>
    </w:pPr>
    <w:rPr>
      <w:kern w:val="2"/>
      <w:sz w:val="21"/>
      <w:szCs w:val="21"/>
    </w:rPr>
  </w:style>
  <w:style w:type="paragraph" w:customStyle="1" w:styleId="Normalfe74557f">
    <w:name w:val="Normalfe74557f"/>
    <w:next w:val="a3"/>
    <w:pPr>
      <w:widowControl w:val="0"/>
      <w:jc w:val="both"/>
    </w:pPr>
    <w:rPr>
      <w:kern w:val="2"/>
      <w:sz w:val="21"/>
      <w:szCs w:val="21"/>
    </w:rPr>
  </w:style>
  <w:style w:type="paragraph" w:customStyle="1" w:styleId="heading14c6bb69f">
    <w:name w:val="heading 14c6bb69f"/>
    <w:basedOn w:val="Normalfe74557f"/>
    <w:next w:val="a"/>
    <w:qFormat/>
    <w:pPr>
      <w:keepNext/>
      <w:keepLines/>
      <w:spacing w:before="340" w:after="330" w:line="578" w:lineRule="auto"/>
      <w:outlineLvl w:val="0"/>
    </w:pPr>
    <w:rPr>
      <w:b/>
      <w:bCs/>
      <w:kern w:val="44"/>
      <w:sz w:val="44"/>
    </w:rPr>
  </w:style>
  <w:style w:type="paragraph" w:customStyle="1" w:styleId="heading286be72c7">
    <w:name w:val="heading 286be72c7"/>
    <w:basedOn w:val="Normalfe74557f"/>
    <w:next w:val="a"/>
    <w:qFormat/>
    <w:pPr>
      <w:keepNext/>
      <w:keepLines/>
      <w:spacing w:before="260" w:after="260" w:line="415" w:lineRule="auto"/>
      <w:outlineLvl w:val="1"/>
    </w:pPr>
    <w:rPr>
      <w:rFonts w:ascii="Luxi Sans" w:eastAsia="黑体" w:hAnsi="Luxi Sans"/>
      <w:b/>
      <w:sz w:val="32"/>
    </w:rPr>
  </w:style>
  <w:style w:type="paragraph" w:customStyle="1" w:styleId="heading344eaf45e">
    <w:name w:val="heading 344eaf45e"/>
    <w:basedOn w:val="Normalfe74557f"/>
    <w:next w:val="a"/>
    <w:qFormat/>
    <w:pPr>
      <w:keepNext/>
      <w:keepLines/>
      <w:spacing w:before="260" w:after="260" w:line="415" w:lineRule="auto"/>
      <w:outlineLvl w:val="2"/>
    </w:pPr>
    <w:rPr>
      <w:b/>
      <w:sz w:val="32"/>
    </w:rPr>
  </w:style>
  <w:style w:type="character" w:customStyle="1" w:styleId="DefaultParagraphFontad8acc49">
    <w:name w:val="Default Paragraph Fontad8acc49"/>
    <w:qFormat/>
  </w:style>
  <w:style w:type="paragraph" w:customStyle="1" w:styleId="1d06b8d49">
    <w:name w:val="引文目录1d06b8d49"/>
    <w:basedOn w:val="Normalfe74557f"/>
    <w:next w:val="a"/>
    <w:qFormat/>
    <w:pPr>
      <w:ind w:leftChars="200" w:left="200"/>
    </w:pPr>
  </w:style>
  <w:style w:type="paragraph" w:customStyle="1" w:styleId="toc5d7d3dc99">
    <w:name w:val="toc 5d7d3dc99"/>
    <w:basedOn w:val="Normalfe74557f"/>
    <w:next w:val="a"/>
    <w:qFormat/>
    <w:pPr>
      <w:ind w:left="1680"/>
    </w:pPr>
  </w:style>
  <w:style w:type="paragraph" w:customStyle="1" w:styleId="toc3f090260c">
    <w:name w:val="toc 3f090260c"/>
    <w:basedOn w:val="Normalfe74557f"/>
    <w:next w:val="a"/>
    <w:qFormat/>
    <w:pPr>
      <w:ind w:left="840"/>
    </w:pPr>
  </w:style>
  <w:style w:type="paragraph" w:customStyle="1" w:styleId="footer78d24287">
    <w:name w:val="footer78d24287"/>
    <w:basedOn w:val="Normalfe74557f"/>
    <w:qFormat/>
    <w:pPr>
      <w:tabs>
        <w:tab w:val="center" w:pos="4153"/>
        <w:tab w:val="right" w:pos="8307"/>
      </w:tabs>
      <w:snapToGrid w:val="0"/>
      <w:jc w:val="left"/>
    </w:pPr>
    <w:rPr>
      <w:sz w:val="18"/>
    </w:rPr>
  </w:style>
  <w:style w:type="paragraph" w:customStyle="1" w:styleId="header1918ed99">
    <w:name w:val="header1918ed99"/>
    <w:basedOn w:val="Normalfe74557f"/>
    <w:qFormat/>
    <w:pPr>
      <w:pBdr>
        <w:bottom w:val="single" w:sz="6" w:space="1" w:color="auto"/>
      </w:pBdr>
      <w:tabs>
        <w:tab w:val="center" w:pos="4153"/>
        <w:tab w:val="right" w:pos="8307"/>
      </w:tabs>
      <w:snapToGrid w:val="0"/>
      <w:jc w:val="center"/>
    </w:pPr>
    <w:rPr>
      <w:sz w:val="18"/>
    </w:rPr>
  </w:style>
  <w:style w:type="paragraph" w:customStyle="1" w:styleId="toc18206834b">
    <w:name w:val="toc 18206834b"/>
    <w:basedOn w:val="Normalfe74557f"/>
    <w:next w:val="a"/>
    <w:qFormat/>
  </w:style>
  <w:style w:type="paragraph" w:customStyle="1" w:styleId="toc47aa30b60">
    <w:name w:val="toc 47aa30b60"/>
    <w:basedOn w:val="Normalfe74557f"/>
    <w:next w:val="a"/>
    <w:qFormat/>
    <w:pPr>
      <w:ind w:left="1260"/>
    </w:pPr>
  </w:style>
  <w:style w:type="paragraph" w:customStyle="1" w:styleId="toc24fba4578">
    <w:name w:val="toc 24fba4578"/>
    <w:basedOn w:val="Normalfe74557f"/>
    <w:next w:val="a"/>
    <w:qFormat/>
    <w:pPr>
      <w:ind w:left="420"/>
    </w:pPr>
  </w:style>
  <w:style w:type="paragraph" w:customStyle="1" w:styleId="155f62a88">
    <w:name w:val="列出段落155f62a88"/>
    <w:next w:val="20"/>
    <w:qFormat/>
    <w:pPr>
      <w:widowControl w:val="0"/>
      <w:ind w:firstLineChars="200" w:firstLine="200"/>
      <w:jc w:val="both"/>
    </w:pPr>
    <w:rPr>
      <w:kern w:val="2"/>
      <w:sz w:val="21"/>
      <w:szCs w:val="21"/>
    </w:rPr>
  </w:style>
  <w:style w:type="paragraph" w:customStyle="1" w:styleId="Normalbdb64567">
    <w:name w:val="Normalbdb64567"/>
    <w:unhideWhenUsed/>
    <w:qFormat/>
    <w:pPr>
      <w:widowControl w:val="0"/>
      <w:jc w:val="both"/>
    </w:pPr>
    <w:rPr>
      <w:rFonts w:ascii="Calibri" w:hAnsi="Calibri"/>
      <w:kern w:val="2"/>
      <w:sz w:val="21"/>
    </w:rPr>
  </w:style>
  <w:style w:type="paragraph" w:customStyle="1" w:styleId="annotationtext23">
    <w:name w:val="annotation text23"/>
    <w:next w:val="10"/>
    <w:unhideWhenUsed/>
    <w:qFormat/>
    <w:pPr>
      <w:widowControl w:val="0"/>
    </w:pPr>
    <w:rPr>
      <w:rFonts w:ascii="Calibri" w:hAnsi="Calibri"/>
      <w:kern w:val="2"/>
      <w:sz w:val="21"/>
    </w:rPr>
  </w:style>
  <w:style w:type="character" w:customStyle="1" w:styleId="a7">
    <w:name w:val="页眉 字符"/>
    <w:basedOn w:val="a0"/>
    <w:link w:val="a6"/>
    <w:rsid w:val="00C65800"/>
    <w:rPr>
      <w:kern w:val="2"/>
      <w:sz w:val="18"/>
      <w:szCs w:val="18"/>
    </w:rPr>
  </w:style>
  <w:style w:type="character" w:customStyle="1" w:styleId="a5">
    <w:name w:val="页脚 字符"/>
    <w:basedOn w:val="a0"/>
    <w:link w:val="a4"/>
    <w:rsid w:val="00C65800"/>
    <w:rPr>
      <w:kern w:val="2"/>
      <w:sz w:val="18"/>
      <w:szCs w:val="18"/>
    </w:rPr>
  </w:style>
  <w:style w:type="paragraph" w:styleId="aa">
    <w:name w:val="annotation text"/>
    <w:basedOn w:val="a"/>
    <w:link w:val="ab"/>
    <w:rsid w:val="00C65800"/>
    <w:pPr>
      <w:jc w:val="left"/>
    </w:pPr>
  </w:style>
  <w:style w:type="character" w:customStyle="1" w:styleId="ab">
    <w:name w:val="批注文字 字符"/>
    <w:basedOn w:val="a0"/>
    <w:link w:val="aa"/>
    <w:rsid w:val="00C65800"/>
    <w:rPr>
      <w:kern w:val="2"/>
      <w:sz w:val="18"/>
      <w:szCs w:val="18"/>
    </w:rPr>
  </w:style>
  <w:style w:type="paragraph" w:customStyle="1" w:styleId="12">
    <w:name w:val="列出段落1"/>
    <w:basedOn w:val="a"/>
    <w:uiPriority w:val="99"/>
    <w:qFormat/>
    <w:rsid w:val="00C65800"/>
    <w:pPr>
      <w:ind w:firstLineChars="200" w:firstLine="420"/>
    </w:pPr>
  </w:style>
  <w:style w:type="paragraph" w:customStyle="1" w:styleId="13">
    <w:name w:val="列表段落1"/>
    <w:basedOn w:val="a"/>
    <w:uiPriority w:val="34"/>
    <w:qFormat/>
    <w:rsid w:val="00C65800"/>
    <w:pPr>
      <w:ind w:firstLineChars="200" w:firstLine="420"/>
    </w:pPr>
  </w:style>
  <w:style w:type="character" w:customStyle="1" w:styleId="fontstyle01">
    <w:name w:val="fontstyle01"/>
    <w:qFormat/>
    <w:rsid w:val="00C6580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6182</Words>
  <Characters>35239</Characters>
  <Application>Microsoft Office Word</Application>
  <DocSecurity>0</DocSecurity>
  <Lines>293</Lines>
  <Paragraphs>82</Paragraphs>
  <ScaleCrop>false</ScaleCrop>
  <Company>P R C</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2022-08-09T07:38:00Z</dcterms:created>
  <dcterms:modified xsi:type="dcterms:W3CDTF">2024-12-20T02:05:00Z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y fmtid="{D5CDD505-2E9C-101B-9397-08002B2CF9AE}" pid="4" name="_KSOProductBuildMID">
    <vt:lpwstr>SYWFI6BW7RYQ00BGRGR8DL0D7NZ0O7GR9J0XTJDWXF8RTFCTZMBR6CJ7FY9TPFRRBSMXEOLYZIW78HNJRUFTIF8D89C0WLCB8XODPHB3F21E7EA5E35C5449AFE745D8B4111B97</vt:lpwstr>
  </property>
  <property fmtid="{D5CDD505-2E9C-101B-9397-08002B2CF9AE}" pid="5" name="_KSOProductBuildSID">
    <vt:lpwstr>125D1F37AD2C410EA6A308C308D93493</vt:lpwstr>
  </property>
</Properties>
</file>