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QWFK6BA79UA0VHGRVR8PLJF7NM0OXVR9U06WJDWXFMRTFWTZ8BJQCJWFS6TPDRRBFM6OOLYZH578LXJQXFT0FFT8RL0WOLB8OOORHB32C7DF93D36248BB864B3FAF2817541A6" Type="http://schemas.microsoft.com/office/2006/relationships/officeDocumentMain" Target="docProps/core.xml"/><Relationship Id="CQWFK6GJ7R9Q0VHGRKR8ML007ZQMOXVREJ06XJDWXF8RTFLTZ8BRVC0HFY9TPDIRXJMXHOLHZHJD8PXJRNFTKFFA8RM0WH5BAFODPHB3F42612B557DA085DCF33E7A00B23E76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0A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关于南银理财部分公募人民币理财产品费率优惠的公告</w:t>
      </w:r>
    </w:p>
    <w:p w14:paraId="599AE3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尊敬的投资者：</w:t>
      </w:r>
    </w:p>
    <w:p w14:paraId="77BB5B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结合理财产品的实际运作情况，本公司将自2025年1月1日（含）起对部分公募人民币理财产品进行费率优惠，费率优惠截止日期另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行公告，具体如下：</w:t>
      </w:r>
    </w:p>
    <w:tbl>
      <w:tblPr>
        <w:tblStyle w:val="4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1360"/>
        <w:gridCol w:w="1297"/>
        <w:gridCol w:w="1157"/>
        <w:gridCol w:w="1209"/>
      </w:tblGrid>
      <w:tr w14:paraId="0532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504" w:type="dxa"/>
            <w:vAlign w:val="center"/>
          </w:tcPr>
          <w:p w14:paraId="61907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产品全称</w:t>
            </w:r>
          </w:p>
        </w:tc>
        <w:tc>
          <w:tcPr>
            <w:tcW w:w="1360" w:type="dxa"/>
            <w:vAlign w:val="center"/>
          </w:tcPr>
          <w:p w14:paraId="183A1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内部销售代码</w:t>
            </w:r>
          </w:p>
        </w:tc>
        <w:tc>
          <w:tcPr>
            <w:tcW w:w="1297" w:type="dxa"/>
            <w:vAlign w:val="center"/>
          </w:tcPr>
          <w:p w14:paraId="4C301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调整的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费用</w:t>
            </w:r>
          </w:p>
        </w:tc>
        <w:tc>
          <w:tcPr>
            <w:tcW w:w="1157" w:type="dxa"/>
            <w:vAlign w:val="center"/>
          </w:tcPr>
          <w:p w14:paraId="4B1ED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说明书费率</w:t>
            </w:r>
          </w:p>
        </w:tc>
        <w:tc>
          <w:tcPr>
            <w:tcW w:w="1209" w:type="dxa"/>
            <w:vAlign w:val="center"/>
          </w:tcPr>
          <w:p w14:paraId="70F7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调整后费率</w:t>
            </w:r>
          </w:p>
        </w:tc>
      </w:tr>
      <w:tr w14:paraId="0ECD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504" w:type="dxa"/>
            <w:vMerge w:val="restart"/>
            <w:vAlign w:val="center"/>
          </w:tcPr>
          <w:p w14:paraId="41D1F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南银理财珠联璧合日日聚鑫现金管理类公募人民币理财产品</w:t>
            </w:r>
          </w:p>
        </w:tc>
        <w:tc>
          <w:tcPr>
            <w:tcW w:w="1360" w:type="dxa"/>
            <w:vMerge w:val="restart"/>
            <w:vAlign w:val="center"/>
          </w:tcPr>
          <w:p w14:paraId="53F91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highlight w:val="none"/>
                <w:lang w:val="en-US" w:eastAsia="zh-CN"/>
              </w:rPr>
              <w:t>A26001</w:t>
            </w:r>
          </w:p>
        </w:tc>
        <w:tc>
          <w:tcPr>
            <w:tcW w:w="1297" w:type="dxa"/>
            <w:vAlign w:val="center"/>
          </w:tcPr>
          <w:p w14:paraId="78564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26737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209" w:type="dxa"/>
            <w:vAlign w:val="center"/>
          </w:tcPr>
          <w:p w14:paraId="1025D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6619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6BAA9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32E49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1B06C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0C82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  <w:tc>
          <w:tcPr>
            <w:tcW w:w="1209" w:type="dxa"/>
            <w:vAlign w:val="center"/>
          </w:tcPr>
          <w:p w14:paraId="6BF6E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3CA6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restart"/>
            <w:vAlign w:val="center"/>
          </w:tcPr>
          <w:p w14:paraId="6E8FD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南银理财珠联璧合日日聚宝现金管理类公募人民币理财产品</w:t>
            </w:r>
          </w:p>
        </w:tc>
        <w:tc>
          <w:tcPr>
            <w:tcW w:w="1360" w:type="dxa"/>
            <w:vMerge w:val="restart"/>
            <w:vAlign w:val="center"/>
          </w:tcPr>
          <w:p w14:paraId="69322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A21002</w:t>
            </w:r>
          </w:p>
        </w:tc>
        <w:tc>
          <w:tcPr>
            <w:tcW w:w="1297" w:type="dxa"/>
            <w:vAlign w:val="center"/>
          </w:tcPr>
          <w:p w14:paraId="069D4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21BB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209" w:type="dxa"/>
            <w:vAlign w:val="center"/>
          </w:tcPr>
          <w:p w14:paraId="128FA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7C94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12FA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1954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55C32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7300F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  <w:tc>
          <w:tcPr>
            <w:tcW w:w="1209" w:type="dxa"/>
            <w:vAlign w:val="center"/>
          </w:tcPr>
          <w:p w14:paraId="0A513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6203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restart"/>
            <w:vAlign w:val="center"/>
          </w:tcPr>
          <w:p w14:paraId="66FC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南银理财添瑞日日聚宝2号现金管理类公募人民币理财产品</w:t>
            </w:r>
          </w:p>
        </w:tc>
        <w:tc>
          <w:tcPr>
            <w:tcW w:w="1360" w:type="dxa"/>
            <w:vMerge w:val="restart"/>
            <w:vAlign w:val="center"/>
          </w:tcPr>
          <w:p w14:paraId="52785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A21003</w:t>
            </w:r>
          </w:p>
        </w:tc>
        <w:tc>
          <w:tcPr>
            <w:tcW w:w="1297" w:type="dxa"/>
            <w:vAlign w:val="center"/>
          </w:tcPr>
          <w:p w14:paraId="77CC4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3262A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209" w:type="dxa"/>
            <w:vAlign w:val="center"/>
          </w:tcPr>
          <w:p w14:paraId="4955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0ACA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5020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61C0B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31388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178C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  <w:tc>
          <w:tcPr>
            <w:tcW w:w="1209" w:type="dxa"/>
            <w:vAlign w:val="center"/>
          </w:tcPr>
          <w:p w14:paraId="7850F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2FCA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restart"/>
            <w:vAlign w:val="center"/>
          </w:tcPr>
          <w:p w14:paraId="00BC5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南银理财添瑞日日聚宝3号现金管理类公募人民币理财产品</w:t>
            </w:r>
          </w:p>
        </w:tc>
        <w:tc>
          <w:tcPr>
            <w:tcW w:w="1360" w:type="dxa"/>
            <w:vMerge w:val="restart"/>
            <w:vAlign w:val="center"/>
          </w:tcPr>
          <w:p w14:paraId="68FEE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A25004</w:t>
            </w:r>
          </w:p>
        </w:tc>
        <w:tc>
          <w:tcPr>
            <w:tcW w:w="1297" w:type="dxa"/>
            <w:vAlign w:val="center"/>
          </w:tcPr>
          <w:p w14:paraId="36201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672AF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209" w:type="dxa"/>
            <w:vAlign w:val="center"/>
          </w:tcPr>
          <w:p w14:paraId="2498A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0BDE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5860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20877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79F2F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1CE6D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  <w:tc>
          <w:tcPr>
            <w:tcW w:w="1209" w:type="dxa"/>
            <w:vAlign w:val="center"/>
          </w:tcPr>
          <w:p w14:paraId="025D0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114E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restart"/>
            <w:vAlign w:val="center"/>
          </w:tcPr>
          <w:p w14:paraId="05FE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南银理财添瑞日日聚宝4号现金管理类公募人民币理财产品</w:t>
            </w:r>
          </w:p>
        </w:tc>
        <w:tc>
          <w:tcPr>
            <w:tcW w:w="1360" w:type="dxa"/>
            <w:vMerge w:val="restart"/>
            <w:vAlign w:val="center"/>
          </w:tcPr>
          <w:p w14:paraId="128A2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A25005</w:t>
            </w:r>
          </w:p>
        </w:tc>
        <w:tc>
          <w:tcPr>
            <w:tcW w:w="1297" w:type="dxa"/>
            <w:vAlign w:val="center"/>
          </w:tcPr>
          <w:p w14:paraId="7ECC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07A94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209" w:type="dxa"/>
            <w:vAlign w:val="center"/>
          </w:tcPr>
          <w:p w14:paraId="53B47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462C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5EB0E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11C8F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6C55A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4444F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  <w:tc>
          <w:tcPr>
            <w:tcW w:w="1209" w:type="dxa"/>
            <w:vAlign w:val="center"/>
          </w:tcPr>
          <w:p w14:paraId="305B2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166C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Align w:val="center"/>
          </w:tcPr>
          <w:p w14:paraId="73774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南银理财鼎瑞悦稳天添盈4号开放式公募人民币理财产品</w:t>
            </w:r>
          </w:p>
        </w:tc>
        <w:tc>
          <w:tcPr>
            <w:tcW w:w="1360" w:type="dxa"/>
            <w:vAlign w:val="center"/>
          </w:tcPr>
          <w:p w14:paraId="39FF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A30009</w:t>
            </w:r>
          </w:p>
        </w:tc>
        <w:tc>
          <w:tcPr>
            <w:tcW w:w="1297" w:type="dxa"/>
            <w:vAlign w:val="center"/>
          </w:tcPr>
          <w:p w14:paraId="03EC0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34B45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  <w:tc>
          <w:tcPr>
            <w:tcW w:w="1209" w:type="dxa"/>
            <w:vAlign w:val="center"/>
          </w:tcPr>
          <w:p w14:paraId="344D4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322C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restart"/>
            <w:vAlign w:val="center"/>
          </w:tcPr>
          <w:p w14:paraId="5994A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南银理财鼎瑞悦稳天添盈5号开放式公募人民币理财产品</w:t>
            </w:r>
          </w:p>
        </w:tc>
        <w:tc>
          <w:tcPr>
            <w:tcW w:w="1360" w:type="dxa"/>
            <w:vMerge w:val="restart"/>
            <w:vAlign w:val="center"/>
          </w:tcPr>
          <w:p w14:paraId="0A20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A30012</w:t>
            </w:r>
          </w:p>
        </w:tc>
        <w:tc>
          <w:tcPr>
            <w:tcW w:w="1297" w:type="dxa"/>
            <w:vAlign w:val="center"/>
          </w:tcPr>
          <w:p w14:paraId="6F570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27D24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209" w:type="dxa"/>
            <w:vAlign w:val="center"/>
          </w:tcPr>
          <w:p w14:paraId="1EA10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6E8D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02868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53E80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35DA2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2538F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  <w:tc>
          <w:tcPr>
            <w:tcW w:w="1209" w:type="dxa"/>
            <w:vAlign w:val="center"/>
          </w:tcPr>
          <w:p w14:paraId="4BE53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0.15%</w:t>
            </w:r>
          </w:p>
        </w:tc>
      </w:tr>
      <w:tr w14:paraId="087A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5FEE4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12DE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A30017</w:t>
            </w:r>
          </w:p>
        </w:tc>
        <w:tc>
          <w:tcPr>
            <w:tcW w:w="1297" w:type="dxa"/>
            <w:vAlign w:val="center"/>
          </w:tcPr>
          <w:p w14:paraId="0FFE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7A6E8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209" w:type="dxa"/>
            <w:vAlign w:val="center"/>
          </w:tcPr>
          <w:p w14:paraId="110D7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3DE2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restart"/>
            <w:vAlign w:val="center"/>
          </w:tcPr>
          <w:p w14:paraId="3BF29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南银理财鼎瑞悦稳天添盈6号开放式公募人民币理财产品</w:t>
            </w:r>
          </w:p>
        </w:tc>
        <w:tc>
          <w:tcPr>
            <w:tcW w:w="1360" w:type="dxa"/>
            <w:vMerge w:val="restart"/>
            <w:vAlign w:val="center"/>
          </w:tcPr>
          <w:p w14:paraId="59F98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A30060</w:t>
            </w:r>
          </w:p>
        </w:tc>
        <w:tc>
          <w:tcPr>
            <w:tcW w:w="1297" w:type="dxa"/>
            <w:vAlign w:val="center"/>
          </w:tcPr>
          <w:p w14:paraId="04D7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6963A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209" w:type="dxa"/>
            <w:vAlign w:val="center"/>
          </w:tcPr>
          <w:p w14:paraId="78B7B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48DC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5C9FD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73CA4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0398D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0A853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  <w:tc>
          <w:tcPr>
            <w:tcW w:w="1209" w:type="dxa"/>
            <w:vAlign w:val="center"/>
          </w:tcPr>
          <w:p w14:paraId="103C4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0.15%</w:t>
            </w:r>
          </w:p>
        </w:tc>
      </w:tr>
      <w:tr w14:paraId="3C1D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66557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1035A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A30061</w:t>
            </w:r>
          </w:p>
        </w:tc>
        <w:tc>
          <w:tcPr>
            <w:tcW w:w="1297" w:type="dxa"/>
            <w:vAlign w:val="center"/>
          </w:tcPr>
          <w:p w14:paraId="2370F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4FC91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209" w:type="dxa"/>
            <w:vAlign w:val="center"/>
          </w:tcPr>
          <w:p w14:paraId="5171D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3678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Align w:val="center"/>
          </w:tcPr>
          <w:p w14:paraId="472A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南银理财鼎瑞悦稳（最低持有7天）2号公募人民币理财产品</w:t>
            </w:r>
          </w:p>
        </w:tc>
        <w:tc>
          <w:tcPr>
            <w:tcW w:w="1360" w:type="dxa"/>
            <w:vAlign w:val="center"/>
          </w:tcPr>
          <w:p w14:paraId="75264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A32017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8898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43C7C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  <w:tc>
          <w:tcPr>
            <w:tcW w:w="1209" w:type="dxa"/>
            <w:vAlign w:val="center"/>
          </w:tcPr>
          <w:p w14:paraId="780D7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6C5E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restart"/>
            <w:vAlign w:val="center"/>
          </w:tcPr>
          <w:p w14:paraId="5C4F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南银理财鼎瑞悦稳（最低持有7天）3号公募人民币理财产品</w:t>
            </w:r>
          </w:p>
        </w:tc>
        <w:tc>
          <w:tcPr>
            <w:tcW w:w="1360" w:type="dxa"/>
            <w:vMerge w:val="restart"/>
            <w:vAlign w:val="center"/>
          </w:tcPr>
          <w:p w14:paraId="6ABB3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078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74AF2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5E24A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0.15%</w:t>
            </w:r>
          </w:p>
        </w:tc>
      </w:tr>
      <w:tr w14:paraId="332D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661E6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2CDF4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1D03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38A69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  <w:tc>
          <w:tcPr>
            <w:tcW w:w="1209" w:type="dxa"/>
            <w:vAlign w:val="center"/>
          </w:tcPr>
          <w:p w14:paraId="027DA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7903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584B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4B978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A32021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D12E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4195C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287A0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0.15%</w:t>
            </w:r>
          </w:p>
        </w:tc>
      </w:tr>
      <w:tr w14:paraId="33AA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3649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6C60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A32022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0CB8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4B2F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11256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0.15%</w:t>
            </w:r>
          </w:p>
        </w:tc>
      </w:tr>
      <w:tr w14:paraId="1738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37547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67325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A32023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00BE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73BA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1C300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0.15%</w:t>
            </w:r>
          </w:p>
        </w:tc>
      </w:tr>
      <w:tr w14:paraId="287A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Align w:val="center"/>
          </w:tcPr>
          <w:p w14:paraId="30177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南银理财鼎瑞悦稳（最低持有7天）4号公募人民币理财产品</w:t>
            </w:r>
          </w:p>
        </w:tc>
        <w:tc>
          <w:tcPr>
            <w:tcW w:w="1360" w:type="dxa"/>
            <w:vAlign w:val="center"/>
          </w:tcPr>
          <w:p w14:paraId="1AFA6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A32042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CC4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67AE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6B6E4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22D9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restart"/>
            <w:vAlign w:val="center"/>
          </w:tcPr>
          <w:p w14:paraId="48F7B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南银理财鼎瑞悦稳（最低持有7天）5号公募人民币理财产品</w:t>
            </w:r>
          </w:p>
        </w:tc>
        <w:tc>
          <w:tcPr>
            <w:tcW w:w="1360" w:type="dxa"/>
            <w:vAlign w:val="center"/>
          </w:tcPr>
          <w:p w14:paraId="4247D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A32051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3CE3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72D38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082D5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2D780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0F1F9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restart"/>
            <w:vAlign w:val="center"/>
          </w:tcPr>
          <w:p w14:paraId="4AD5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A32052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E41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6C990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47E14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2214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2E041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3191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D4E0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5D4F1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  <w:tc>
          <w:tcPr>
            <w:tcW w:w="1209" w:type="dxa"/>
            <w:vAlign w:val="center"/>
          </w:tcPr>
          <w:p w14:paraId="15FAF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0.15%</w:t>
            </w:r>
          </w:p>
        </w:tc>
      </w:tr>
      <w:tr w14:paraId="4A1C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Align w:val="center"/>
          </w:tcPr>
          <w:p w14:paraId="4C0F8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南银理财鼎瑞悦稳（最低持有21天）1号公募人民币理财产品</w:t>
            </w:r>
          </w:p>
        </w:tc>
        <w:tc>
          <w:tcPr>
            <w:tcW w:w="1360" w:type="dxa"/>
            <w:vAlign w:val="center"/>
          </w:tcPr>
          <w:p w14:paraId="7CE2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A32035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826D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36BE2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5B759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0594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Align w:val="center"/>
          </w:tcPr>
          <w:p w14:paraId="58AE1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南银理财鼎瑞悦稳（最低持有28天）3号公募人民币理财产品</w:t>
            </w:r>
          </w:p>
        </w:tc>
        <w:tc>
          <w:tcPr>
            <w:tcW w:w="1360" w:type="dxa"/>
            <w:vAlign w:val="center"/>
          </w:tcPr>
          <w:p w14:paraId="40BB5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A32039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5BE3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6C658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0.3%</w:t>
            </w:r>
          </w:p>
        </w:tc>
        <w:tc>
          <w:tcPr>
            <w:tcW w:w="1209" w:type="dxa"/>
            <w:vAlign w:val="center"/>
          </w:tcPr>
          <w:p w14:paraId="6CACB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6180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04" w:type="dxa"/>
            <w:vMerge w:val="restart"/>
            <w:vAlign w:val="center"/>
          </w:tcPr>
          <w:p w14:paraId="28457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南银理财鼎瑞悦稳（最低持有60天）1号公募人民币理财产品</w:t>
            </w:r>
          </w:p>
        </w:tc>
        <w:tc>
          <w:tcPr>
            <w:tcW w:w="1360" w:type="dxa"/>
            <w:vMerge w:val="restart"/>
            <w:vAlign w:val="center"/>
          </w:tcPr>
          <w:p w14:paraId="05F20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A32038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F5BF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31927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7F20D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680F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0E44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5A0DB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6C351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003F2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0.3%</w:t>
            </w:r>
          </w:p>
        </w:tc>
        <w:tc>
          <w:tcPr>
            <w:tcW w:w="1209" w:type="dxa"/>
            <w:vAlign w:val="center"/>
          </w:tcPr>
          <w:p w14:paraId="1992E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0.15%</w:t>
            </w:r>
          </w:p>
        </w:tc>
      </w:tr>
      <w:tr w14:paraId="0D9A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02C8C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57CD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A32046</w:t>
            </w:r>
          </w:p>
        </w:tc>
        <w:tc>
          <w:tcPr>
            <w:tcW w:w="1297" w:type="dxa"/>
            <w:vAlign w:val="center"/>
          </w:tcPr>
          <w:p w14:paraId="1D320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080E4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03E35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3698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180FB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6F0CC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A32047</w:t>
            </w:r>
          </w:p>
        </w:tc>
        <w:tc>
          <w:tcPr>
            <w:tcW w:w="1297" w:type="dxa"/>
            <w:vAlign w:val="center"/>
          </w:tcPr>
          <w:p w14:paraId="33A32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055D2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39642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751D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4" w:type="dxa"/>
            <w:vMerge w:val="restart"/>
            <w:vAlign w:val="center"/>
          </w:tcPr>
          <w:p w14:paraId="72CAF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南银理财增瑞财富牛（最低持有120天）1号公募人民币理财产品</w:t>
            </w:r>
          </w:p>
        </w:tc>
        <w:tc>
          <w:tcPr>
            <w:tcW w:w="1360" w:type="dxa"/>
            <w:vMerge w:val="restart"/>
            <w:vAlign w:val="center"/>
          </w:tcPr>
          <w:p w14:paraId="22646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Z70015</w:t>
            </w:r>
          </w:p>
        </w:tc>
        <w:tc>
          <w:tcPr>
            <w:tcW w:w="1297" w:type="dxa"/>
            <w:vAlign w:val="center"/>
          </w:tcPr>
          <w:p w14:paraId="6081A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647A3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209" w:type="dxa"/>
            <w:vAlign w:val="center"/>
          </w:tcPr>
          <w:p w14:paraId="19FE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6ED5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52B0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458F3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45101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637EF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0.3%</w:t>
            </w:r>
          </w:p>
        </w:tc>
        <w:tc>
          <w:tcPr>
            <w:tcW w:w="1209" w:type="dxa"/>
            <w:vAlign w:val="center"/>
          </w:tcPr>
          <w:p w14:paraId="24838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5252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504" w:type="dxa"/>
            <w:vMerge w:val="continue"/>
            <w:vAlign w:val="center"/>
          </w:tcPr>
          <w:p w14:paraId="60E4F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4AEDC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Z70016</w:t>
            </w:r>
          </w:p>
        </w:tc>
        <w:tc>
          <w:tcPr>
            <w:tcW w:w="1297" w:type="dxa"/>
            <w:vAlign w:val="center"/>
          </w:tcPr>
          <w:p w14:paraId="52EF7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26EED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0.5%</w:t>
            </w:r>
          </w:p>
        </w:tc>
        <w:tc>
          <w:tcPr>
            <w:tcW w:w="1209" w:type="dxa"/>
            <w:vAlign w:val="center"/>
          </w:tcPr>
          <w:p w14:paraId="38E58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11D2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4" w:type="dxa"/>
            <w:vMerge w:val="restart"/>
            <w:vAlign w:val="center"/>
          </w:tcPr>
          <w:p w14:paraId="23767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南银理财鼎瑞悦稳（最低持有189天）公募人民币理财产品</w:t>
            </w:r>
          </w:p>
        </w:tc>
        <w:tc>
          <w:tcPr>
            <w:tcW w:w="1360" w:type="dxa"/>
            <w:vMerge w:val="restart"/>
            <w:vAlign w:val="center"/>
          </w:tcPr>
          <w:p w14:paraId="6DD50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A32033</w:t>
            </w:r>
          </w:p>
        </w:tc>
        <w:tc>
          <w:tcPr>
            <w:tcW w:w="1297" w:type="dxa"/>
            <w:vAlign w:val="center"/>
          </w:tcPr>
          <w:p w14:paraId="08DBD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302A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56374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29E1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62651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36186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20F92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6E33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0.3%</w:t>
            </w:r>
          </w:p>
        </w:tc>
        <w:tc>
          <w:tcPr>
            <w:tcW w:w="1209" w:type="dxa"/>
            <w:vAlign w:val="center"/>
          </w:tcPr>
          <w:p w14:paraId="0848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0.2%</w:t>
            </w:r>
          </w:p>
        </w:tc>
      </w:tr>
      <w:tr w14:paraId="5305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18A04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658BB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A32034</w:t>
            </w:r>
          </w:p>
        </w:tc>
        <w:tc>
          <w:tcPr>
            <w:tcW w:w="1297" w:type="dxa"/>
            <w:vAlign w:val="center"/>
          </w:tcPr>
          <w:p w14:paraId="1B546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69D5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64F7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5728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4" w:type="dxa"/>
            <w:vMerge w:val="restart"/>
            <w:vAlign w:val="center"/>
          </w:tcPr>
          <w:p w14:paraId="2A6C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南银理财鼎瑞悦稳（最低持有371天）1号公募人民币理财产品</w:t>
            </w:r>
          </w:p>
        </w:tc>
        <w:tc>
          <w:tcPr>
            <w:tcW w:w="1360" w:type="dxa"/>
            <w:vMerge w:val="restart"/>
            <w:vAlign w:val="center"/>
          </w:tcPr>
          <w:p w14:paraId="6855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A32041</w:t>
            </w:r>
          </w:p>
        </w:tc>
        <w:tc>
          <w:tcPr>
            <w:tcW w:w="1297" w:type="dxa"/>
            <w:vAlign w:val="center"/>
          </w:tcPr>
          <w:p w14:paraId="49A0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09004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7BECF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  <w:tr w14:paraId="398B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4AFE7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4304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60396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销售费</w:t>
            </w:r>
          </w:p>
        </w:tc>
        <w:tc>
          <w:tcPr>
            <w:tcW w:w="1157" w:type="dxa"/>
            <w:vAlign w:val="center"/>
          </w:tcPr>
          <w:p w14:paraId="46480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0.3%</w:t>
            </w:r>
          </w:p>
        </w:tc>
        <w:tc>
          <w:tcPr>
            <w:tcW w:w="1209" w:type="dxa"/>
            <w:vAlign w:val="center"/>
          </w:tcPr>
          <w:p w14:paraId="10EBD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0.15%</w:t>
            </w:r>
          </w:p>
        </w:tc>
      </w:tr>
      <w:tr w14:paraId="62C4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04" w:type="dxa"/>
            <w:vMerge w:val="continue"/>
            <w:vAlign w:val="center"/>
          </w:tcPr>
          <w:p w14:paraId="6A3B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5DD28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A32043</w:t>
            </w:r>
          </w:p>
        </w:tc>
        <w:tc>
          <w:tcPr>
            <w:tcW w:w="1297" w:type="dxa"/>
            <w:vAlign w:val="center"/>
          </w:tcPr>
          <w:p w14:paraId="73EC2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固定管理费</w:t>
            </w:r>
          </w:p>
        </w:tc>
        <w:tc>
          <w:tcPr>
            <w:tcW w:w="1157" w:type="dxa"/>
            <w:vAlign w:val="center"/>
          </w:tcPr>
          <w:p w14:paraId="49CE7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0.4%</w:t>
            </w:r>
          </w:p>
        </w:tc>
        <w:tc>
          <w:tcPr>
            <w:tcW w:w="1209" w:type="dxa"/>
            <w:vAlign w:val="center"/>
          </w:tcPr>
          <w:p w14:paraId="7843D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/>
              </w:rPr>
              <w:t>0.1%</w:t>
            </w:r>
          </w:p>
        </w:tc>
      </w:tr>
    </w:tbl>
    <w:p w14:paraId="1A3F77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如您对本公告有任何疑问，可联系本理财产品代销机构或本公司，代销机构及本公司将竭诚为您服务。</w:t>
      </w:r>
    </w:p>
    <w:p w14:paraId="71BC73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感谢您一直以来的支持和信赖！</w:t>
      </w:r>
    </w:p>
    <w:p w14:paraId="704DDB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特此公告。</w:t>
      </w:r>
    </w:p>
    <w:p w14:paraId="66442C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right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南银理财有限责任公司</w:t>
      </w:r>
    </w:p>
    <w:p w14:paraId="1C8232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right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2024年12月31日</w:t>
      </w:r>
    </w:p>
    <w:p w14:paraId="046FA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21"/>
          <w:szCs w:val="21"/>
        </w:rPr>
      </w:pPr>
    </w:p>
    <w:p w14:paraId="3EB73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YjMwYjUyNDU0ZTUxMWU5MGU3OTNhNjdiYWU3MjQifQ=="/>
  </w:docVars>
  <w:rsids>
    <w:rsidRoot w:val="4DEE718D"/>
    <w:rsid w:val="03123BE6"/>
    <w:rsid w:val="03AC7CC6"/>
    <w:rsid w:val="043D6C25"/>
    <w:rsid w:val="0490338C"/>
    <w:rsid w:val="07017B09"/>
    <w:rsid w:val="08FF26FB"/>
    <w:rsid w:val="09315A6F"/>
    <w:rsid w:val="0A300AD6"/>
    <w:rsid w:val="0C3A7178"/>
    <w:rsid w:val="0D5C3512"/>
    <w:rsid w:val="0E1E6649"/>
    <w:rsid w:val="0EFB0BEE"/>
    <w:rsid w:val="0F427A72"/>
    <w:rsid w:val="10A006D6"/>
    <w:rsid w:val="126805E3"/>
    <w:rsid w:val="15264CBF"/>
    <w:rsid w:val="171001C9"/>
    <w:rsid w:val="184E235C"/>
    <w:rsid w:val="1B116A28"/>
    <w:rsid w:val="20160161"/>
    <w:rsid w:val="2B2C3635"/>
    <w:rsid w:val="2F590507"/>
    <w:rsid w:val="30DE140E"/>
    <w:rsid w:val="357845C8"/>
    <w:rsid w:val="39380C47"/>
    <w:rsid w:val="3BB9606B"/>
    <w:rsid w:val="3F2A73B9"/>
    <w:rsid w:val="41563BA5"/>
    <w:rsid w:val="41B1600A"/>
    <w:rsid w:val="41DF1349"/>
    <w:rsid w:val="42F2043E"/>
    <w:rsid w:val="4323576D"/>
    <w:rsid w:val="44232A2A"/>
    <w:rsid w:val="4C5A7974"/>
    <w:rsid w:val="4DE04FD5"/>
    <w:rsid w:val="4DEE718D"/>
    <w:rsid w:val="51857D1D"/>
    <w:rsid w:val="55EC48B5"/>
    <w:rsid w:val="5A985CB8"/>
    <w:rsid w:val="5D2E0FD1"/>
    <w:rsid w:val="5D904324"/>
    <w:rsid w:val="5EC87CBD"/>
    <w:rsid w:val="650A2CA9"/>
    <w:rsid w:val="66CA7019"/>
    <w:rsid w:val="6D8F68C7"/>
    <w:rsid w:val="702275C0"/>
    <w:rsid w:val="713C5FD5"/>
    <w:rsid w:val="71593FC3"/>
    <w:rsid w:val="71A0197C"/>
    <w:rsid w:val="776D2980"/>
    <w:rsid w:val="78A23E67"/>
    <w:rsid w:val="7ADB75EF"/>
    <w:rsid w:val="7BAE6CDE"/>
    <w:rsid w:val="7D8A542E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967</Words>
  <Characters>1390</Characters>
  <Lines>0</Lines>
  <Paragraphs>0</Paragraphs>
  <TotalTime>8</TotalTime>
  <ScaleCrop>false</ScaleCrop>
  <LinksUpToDate>false</LinksUpToDate>
  <CharactersWithSpaces>1390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2023-05-31T00:51:00Z</dcterms:created>
  <dc:creator>钱哲贤</dc:creator>
  <cp:lastModifiedBy>钱哲贤</cp:lastModifiedBy>
  <cp:lastPrinted>2023-06-01T09:12:00Z</cp:lastPrinted>
  <dcterms:modified xsi:type="dcterms:W3CDTF">2024-12-31T00:57:47Z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2C8D20FC984F426DBC2DD415826CA67C_13</vt:lpwstr>
  </property>
  <property fmtid="{D5CDD505-2E9C-101B-9397-08002B2CF9AE}" pid="4" name="KSOTemplateDocerSaveRecord">
    <vt:lpwstr>eyJoZGlkIjoiOTQxYjMwYjUyNDU0ZTUxMWU5MGU3OTNhNjdiYWU3MjQiLCJ1c2VySWQiOiIxOTQyMDk5OTcifQ==</vt:lpwstr>
  </property>
  <property fmtid="{D5CDD505-2E9C-101B-9397-08002B2CF9AE}" pid="5" name="_KSOProductBuildMID">
    <vt:lpwstr>CQWFK6BA79UA0VHGRVR8PLJF7NM0OXVR9U06WJDWXFMRTFWTZ8BJQCJWFS6TPDRRBFM6OOLYZH578LXJQXFT0FFT8RL0WOLB8OOORHB32C7DF93D36248BB864B3FAF2817541A6</vt:lpwstr>
  </property>
  <property fmtid="{D5CDD505-2E9C-101B-9397-08002B2CF9AE}" pid="6" name="_KSOProductBuildSID">
    <vt:lpwstr>0C8C9581D53B40E48B1D778F9A7163EF</vt:lpwstr>
  </property>
</Properties>
</file>