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VWM86BU7R9A05HG9ZRNQLJF7NNMOAVR9X0XUJDWXGHRTECT6DBJIC0HFY5HPC6RAXMXNOL0ZIAD8HEJQJFA0FF78RZMWH5B8NOOQHB316C51DB33E3BDFDFD4783DEDFE6ABB58" Type="http://schemas.microsoft.com/office/2006/relationships/officeDocumentMain" Target="docProps/core.xml"/><Relationship Id="DPWMQ6GK7R9Q0TTGQARNDL057NL0OXGRQO06WJDWXFF8TGCT66BRVCJUFYYHPB6RAXM6EOLKZI678INJQJFAQFFZ89CMWHLB8UOOIHB31BE7D551F79E5514F703CAA292DAF2D7"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4520B">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18CBD514">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3A8E2B4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1314A9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245F7E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304961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314104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74E7D8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630D9D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3F95FA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7302AC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5A90E8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1EE0CC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657F16A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30B91C9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6D057D3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7212B55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3A1141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52B3F4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38CCD5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2A8BFBC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48128B0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668856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5D5032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70A262B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2E414C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3BDB581E">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56ABD45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562090C8">
      <w:pPr>
        <w:spacing w:line="200" w:lineRule="exact"/>
      </w:pPr>
      <w:r>
        <w:rPr>
          <w:rFonts w:ascii="方正黑体_GBK" w:hAnsi="方正黑体_GBK" w:eastAsia="方正黑体_GBK" w:cs="宋体"/>
          <w:b/>
          <w:sz w:val="13"/>
          <w:szCs w:val="20"/>
        </w:rPr>
        <w:t xml:space="preserve">    1.债券类资产投资风险</w:t>
      </w:r>
    </w:p>
    <w:p w14:paraId="70FAE586">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75DB35EB">
      <w:pPr>
        <w:spacing w:line="200" w:lineRule="exact"/>
      </w:pPr>
      <w:r>
        <w:rPr>
          <w:rFonts w:ascii="方正黑体_GBK" w:hAnsi="方正黑体_GBK" w:eastAsia="方正黑体_GBK" w:cs="宋体"/>
          <w:b/>
          <w:sz w:val="13"/>
          <w:szCs w:val="20"/>
        </w:rPr>
        <w:t xml:space="preserve">    2.非标准化债权类资产投资风险</w:t>
      </w:r>
    </w:p>
    <w:p w14:paraId="2702D519">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40ABE1A3">
      <w:pPr>
        <w:spacing w:line="200" w:lineRule="exact"/>
      </w:pPr>
      <w:r>
        <w:rPr>
          <w:rFonts w:ascii="方正黑体_GBK" w:hAnsi="方正黑体_GBK" w:eastAsia="方正黑体_GBK" w:cs="宋体"/>
          <w:b/>
          <w:sz w:val="13"/>
          <w:szCs w:val="20"/>
        </w:rPr>
        <w:t xml:space="preserve">    3.资产管理产品投资风险</w:t>
      </w:r>
    </w:p>
    <w:p w14:paraId="0F2AAE75">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0B86B117">
      <w:pPr>
        <w:spacing w:line="200" w:lineRule="exact"/>
      </w:pPr>
      <w:r>
        <w:rPr>
          <w:rFonts w:ascii="方正黑体_GBK" w:hAnsi="方正黑体_GBK" w:eastAsia="方正黑体_GBK" w:cs="宋体"/>
          <w:b/>
          <w:sz w:val="13"/>
          <w:szCs w:val="20"/>
        </w:rPr>
        <w:t xml:space="preserve">    4.非标准化债权类资产无法投资的风险</w:t>
      </w:r>
    </w:p>
    <w:p w14:paraId="29DA0E57">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14:paraId="1C334D6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14:paraId="7BBB1EC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98天</w:t>
      </w:r>
      <w:r>
        <w:rPr>
          <w:rFonts w:hint="eastAsia" w:ascii="方正黑体_GBK" w:hAnsi="方正黑体_GBK" w:eastAsia="方正黑体_GBK"/>
          <w:b/>
          <w:bCs w:val="0"/>
          <w:vanish w:val="0"/>
          <w:color w:val="3D3D3D"/>
          <w:kern w:val="0"/>
          <w:sz w:val="13"/>
          <w:szCs w:val="13"/>
        </w:rPr>
        <w:t>。</w:t>
      </w:r>
    </w:p>
    <w:p w14:paraId="3269929D">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735B70D4">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1CE00A5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52BD076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4350EB7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47101DF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57F2FD6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4DAAABA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6F0333B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7FBFD615">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0C979B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306451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521C9E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4613AEED">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0C2AF455">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71AD9B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0A02EC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6E029D4E">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242DDC88">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0DCF06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4CA689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500856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4FE361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558C5B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0CF21F6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1391BF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2352BCB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0F800C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4246D05C">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3B242D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33FEA3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2B80F8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3369D8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2BFD9A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45504EB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51BB13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460D9B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451109F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54E5CB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5E8D1E6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39BCD4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4CAD92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6FC9AF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2FD950E2">
      <w:r>
        <w:rPr>
          <w:rFonts w:ascii="方正黑体_GBK" w:hAnsi="方正黑体_GBK" w:eastAsia="方正黑体_GBK"/>
        </w:rPr>
        <w:br w:type="page"/>
      </w:r>
    </w:p>
    <w:p w14:paraId="073C62D4">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0DEE873D">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56BF0EFF">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6A866F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1130E9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57746F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南银理财珠联璧合鑫逸稳三个月65期封闭式公募人民币理财产品</w:t>
            </w:r>
          </w:p>
        </w:tc>
      </w:tr>
      <w:tr w14:paraId="412E0B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05A337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7123C3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14:paraId="3DE281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095F1B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50C96A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4D5D1E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430D5B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286333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ZZ700322400613</w:t>
            </w:r>
          </w:p>
        </w:tc>
      </w:tr>
      <w:tr w14:paraId="56BA24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5E7B9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60698A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Z7003225000003(投资者可依据该编码在中国理财网www.chinawealth.com.cn查询理财产品相关信息）</w:t>
            </w:r>
          </w:p>
        </w:tc>
      </w:tr>
      <w:tr w14:paraId="6CFFDD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A8319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6C908128">
            <w:pPr>
              <w:spacing w:line="200" w:lineRule="exact"/>
            </w:pPr>
            <w:r>
              <w:rPr>
                <w:rFonts w:ascii="方正黑体_GBK" w:hAnsi="方正黑体_GBK" w:eastAsia="方正黑体_GBK" w:cs="宋体"/>
                <w:sz w:val="18"/>
                <w:szCs w:val="18"/>
              </w:rPr>
              <w:t>A份额：Y80065</w:t>
            </w:r>
          </w:p>
          <w:p w14:paraId="23ACE416">
            <w:pPr>
              <w:spacing w:line="200" w:lineRule="exact"/>
            </w:pPr>
            <w:r>
              <w:rPr>
                <w:rFonts w:ascii="方正黑体_GBK" w:hAnsi="方正黑体_GBK" w:eastAsia="方正黑体_GBK" w:cs="宋体"/>
                <w:sz w:val="18"/>
                <w:szCs w:val="18"/>
              </w:rPr>
              <w:t>B份额：Y81065</w:t>
            </w:r>
          </w:p>
          <w:p w14:paraId="420611C3">
            <w:pPr>
              <w:spacing w:line="200" w:lineRule="exact"/>
            </w:pPr>
            <w:r>
              <w:rPr>
                <w:rFonts w:ascii="方正黑体_GBK" w:hAnsi="方正黑体_GBK" w:eastAsia="方正黑体_GBK" w:cs="宋体"/>
                <w:sz w:val="18"/>
                <w:szCs w:val="18"/>
              </w:rPr>
              <w:t>C份额：Y82065</w:t>
            </w:r>
          </w:p>
          <w:p w14:paraId="46A2F85A">
            <w:pPr>
              <w:spacing w:line="200" w:lineRule="exact"/>
            </w:pPr>
            <w:r>
              <w:rPr>
                <w:rFonts w:ascii="方正黑体_GBK" w:hAnsi="方正黑体_GBK" w:eastAsia="方正黑体_GBK" w:cs="宋体"/>
                <w:sz w:val="18"/>
                <w:szCs w:val="18"/>
              </w:rPr>
              <w:t>E份额：Y84065</w:t>
            </w:r>
          </w:p>
          <w:p w14:paraId="1FC62BDE">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注：本产品不同份额针对不同的销售机构及客群进行销售，设置有不同的销售费和管理费，具体客群划分标准以销售机构为准。</w:t>
            </w:r>
          </w:p>
        </w:tc>
      </w:tr>
      <w:tr w14:paraId="49CFA3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BECEB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56899708">
            <w:pPr>
              <w:spacing w:line="200" w:lineRule="exact"/>
            </w:pPr>
            <w:r>
              <w:rPr>
                <w:rFonts w:ascii="方正黑体_GBK" w:hAnsi="方正黑体_GBK" w:eastAsia="方正黑体_GBK" w:cs="宋体"/>
                <w:sz w:val="18"/>
                <w:szCs w:val="18"/>
              </w:rPr>
              <w:t>全国</w:t>
            </w:r>
          </w:p>
        </w:tc>
      </w:tr>
      <w:tr w14:paraId="3D7FF6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FDD51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144A687A">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55250C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B47C5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3879E258">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14:paraId="53585D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DBBA2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004CF71B">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3DB9702B">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2F969F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D7687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18F6020C">
            <w:pPr>
              <w:spacing w:line="200" w:lineRule="exact"/>
            </w:pPr>
            <w:r>
              <w:rPr>
                <w:rFonts w:ascii="方正黑体_GBK" w:hAnsi="方正黑体_GBK" w:eastAsia="方正黑体_GBK" w:cs="宋体"/>
                <w:color w:val="000000"/>
                <w:sz w:val="18"/>
                <w:szCs w:val="18"/>
              </w:rPr>
              <w:t>符合相关法律法规、监管规定要求的，经销售机构的风险承受能力评估体系评定为适合的个人和机构投资者。</w:t>
            </w:r>
          </w:p>
          <w:p w14:paraId="0278CBF0">
            <w:pPr>
              <w:spacing w:line="200" w:lineRule="exact"/>
            </w:pPr>
            <w:r>
              <w:rPr>
                <w:rFonts w:ascii="方正黑体_GBK" w:hAnsi="方正黑体_GBK" w:eastAsia="方正黑体_GBK" w:cs="宋体"/>
                <w:sz w:val="18"/>
                <w:szCs w:val="18"/>
              </w:rPr>
              <w:t>A份额：除B、C、E份额以外的所有客户（详见“销售机构”条款）。</w:t>
            </w:r>
          </w:p>
          <w:p w14:paraId="1D7708E3">
            <w:pPr>
              <w:spacing w:line="200" w:lineRule="exact"/>
            </w:pPr>
            <w:r>
              <w:rPr>
                <w:rFonts w:ascii="方正黑体_GBK" w:hAnsi="方正黑体_GBK" w:eastAsia="方正黑体_GBK" w:cs="宋体"/>
                <w:sz w:val="18"/>
                <w:szCs w:val="18"/>
              </w:rPr>
              <w:t>B份额：南京银行股份有限公司（大众客群）、青岛银行股份有限公司、温州银行股份有限公司、汉口银行股份有限公司（20万元起购）、浙江民泰商业银行股份有限公司、河北银行股份有限公司（常规客户）、广州银行股份有限公司、江苏常熟农村商业银行股份有限公司（社保卡专项客户）、江苏苏州农村商业银行股份有限公司（社保卡专项客户）、苏州银行股份有限公司（零售客群）、日照银行股份有限公司（普通客户）、宁波东海股份有限公司（社保卡专项客户）、齐鲁银行股份有限公司（白金/私行客户。白金客户：零售金融资产100万以上客户、私行客户：零售金融资产600万以上客户）、台州银行股份有限公司（常规客户）、天津农村商业银行股份有限公司（零售客群）、甘肃银行股份有限公司、江苏镇江农村商业银行股份有限公司（20万元起购）、江苏如皋农村商业银行股份有限公司（代发客户）、江苏金湖农村商业银行股份有限公司（收单商户专享）。</w:t>
            </w:r>
          </w:p>
          <w:p w14:paraId="65C1A728">
            <w:pPr>
              <w:spacing w:line="200" w:lineRule="exact"/>
            </w:pPr>
            <w:r>
              <w:rPr>
                <w:rFonts w:ascii="方正黑体_GBK" w:hAnsi="方正黑体_GBK" w:eastAsia="方正黑体_GBK" w:cs="宋体"/>
                <w:sz w:val="18"/>
                <w:szCs w:val="18"/>
              </w:rPr>
              <w:t>C份额：南京银行股份有限公司（新客户、新资金（5万）客户）、江苏张家港农村商业银行股份有限公司、河北银行股份有限公司（10万以上客户）、江苏江南农村商业银行股份有限公司（专项客群）、郑州银行股份有限公司、苏州银行股份有限公司（零售专项客群）、日照银行股份有限公司（特邀客户）、台州银行股份有限公司（新客专享）、天津农村商业银行股份有限公司（专项客群）、山西银行股份有限公司（新客专享）、云南红塔银行股份有限公司（代发客户）、兰州银行股份有限公司、桂林银行股份有限公司、宁波通商银行股份有限公司、江苏泰兴农村商业银行股份有限公司、江苏靖江农村商业银行股份有限公司、江苏南通农村商业银行股份有限公司（企业客户专享）、江苏兴化农村商业银行股份有限公司、江苏镇江农村商业银行股份有限公司（100万元起购）、江苏紫金农村商业银行股份有限公司（起点金额30万）、江苏金湖农村商业银行股份有限公司（社保卡客户专享）、江苏如东农村商业银行股份有限公司。</w:t>
            </w:r>
          </w:p>
          <w:p w14:paraId="0CAB103A">
            <w:pPr>
              <w:spacing w:line="200" w:lineRule="exact"/>
            </w:pPr>
            <w:r>
              <w:rPr>
                <w:rFonts w:ascii="方正黑体_GBK" w:hAnsi="方正黑体_GBK" w:eastAsia="方正黑体_GBK" w:cs="宋体"/>
                <w:sz w:val="18"/>
                <w:szCs w:val="18"/>
              </w:rPr>
              <w:t>E份额：南京银行股份有限公司特邀客户。</w:t>
            </w:r>
          </w:p>
          <w:p w14:paraId="52E79AE0">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注：本产品不同份额针对不同的销售机构及客群进行销售，设置有不同的销售费和管理费，具体客群划分标准以销售机构为准。</w:t>
            </w:r>
          </w:p>
          <w:p w14:paraId="7C4B0872">
            <w:pPr>
              <w:spacing w:line="200" w:lineRule="exact"/>
            </w:pPr>
            <w:r>
              <w:rPr>
                <w:rFonts w:ascii="方正黑体_GBK" w:hAnsi="方正黑体_GBK" w:eastAsia="方正黑体_GBK" w:cs="宋体"/>
                <w:b/>
                <w:sz w:val="18"/>
                <w:szCs w:val="18"/>
              </w:rPr>
              <w:t>南京银行股份有限公司特邀客户：</w:t>
            </w:r>
            <w:r>
              <w:rPr>
                <w:rFonts w:ascii="方正黑体_GBK" w:hAnsi="方正黑体_GBK" w:eastAsia="方正黑体_GBK" w:cs="宋体"/>
                <w:sz w:val="18"/>
                <w:szCs w:val="18"/>
              </w:rPr>
              <w:t>是指单笔金额100万起的特邀公司类客户。</w:t>
            </w:r>
          </w:p>
          <w:p w14:paraId="06EDCD33">
            <w:pPr>
              <w:spacing w:line="200" w:lineRule="exact"/>
            </w:pPr>
            <w:r>
              <w:rPr>
                <w:rFonts w:ascii="方正黑体_GBK" w:hAnsi="方正黑体_GBK" w:eastAsia="方正黑体_GBK" w:cs="宋体"/>
                <w:b/>
                <w:sz w:val="18"/>
                <w:szCs w:val="18"/>
              </w:rPr>
              <w:t>南京银行股份有限公司新客是指</w:t>
            </w:r>
            <w:r>
              <w:rPr>
                <w:rFonts w:ascii="方正黑体_GBK" w:hAnsi="方正黑体_GBK" w:eastAsia="方正黑体_GBK" w:cs="宋体"/>
                <w:sz w:val="18"/>
                <w:szCs w:val="18"/>
              </w:rPr>
              <w:t>2024年理财年日均余额为0的客户。</w:t>
            </w:r>
            <w:r>
              <w:rPr>
                <w:rFonts w:ascii="方正黑体_GBK" w:hAnsi="方正黑体_GBK" w:eastAsia="方正黑体_GBK" w:cs="宋体"/>
                <w:b/>
                <w:sz w:val="18"/>
                <w:szCs w:val="18"/>
              </w:rPr>
              <w:t>新资金（5万）是指</w:t>
            </w:r>
            <w:r>
              <w:rPr>
                <w:rFonts w:ascii="方正黑体_GBK" w:hAnsi="方正黑体_GBK" w:eastAsia="方正黑体_GBK" w:cs="宋体"/>
                <w:sz w:val="18"/>
                <w:szCs w:val="18"/>
              </w:rPr>
              <w:t>金融资产余额较上月月日均增长5万元及以上的客户。</w:t>
            </w:r>
          </w:p>
        </w:tc>
      </w:tr>
      <w:tr w14:paraId="7A9924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BD693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1BBEC653">
            <w:pPr>
              <w:spacing w:line="200" w:lineRule="exact"/>
            </w:pPr>
            <w:r>
              <w:rPr>
                <w:rFonts w:ascii="方正黑体_GBK" w:hAnsi="方正黑体_GBK" w:eastAsia="方正黑体_GBK" w:cs="宋体"/>
                <w:sz w:val="18"/>
                <w:szCs w:val="18"/>
              </w:rPr>
              <w:t>A份额/B份额/C份额：</w:t>
            </w:r>
          </w:p>
          <w:p w14:paraId="2DB3C55F">
            <w:pPr>
              <w:spacing w:line="200" w:lineRule="exact"/>
            </w:pPr>
            <w:r>
              <w:rPr>
                <w:rFonts w:ascii="方正黑体_GBK" w:hAnsi="方正黑体_GBK" w:eastAsia="方正黑体_GBK" w:cs="宋体"/>
                <w:sz w:val="18"/>
                <w:szCs w:val="18"/>
              </w:rPr>
              <w:t>个人投资者投资起点金额1元人民币，以1元的整数倍递增；</w:t>
            </w:r>
          </w:p>
          <w:p w14:paraId="68365912">
            <w:pPr>
              <w:spacing w:line="200" w:lineRule="exact"/>
            </w:pPr>
            <w:r>
              <w:rPr>
                <w:rFonts w:ascii="方正黑体_GBK" w:hAnsi="方正黑体_GBK" w:eastAsia="方正黑体_GBK" w:cs="宋体"/>
                <w:sz w:val="18"/>
                <w:szCs w:val="18"/>
              </w:rPr>
              <w:t>机构投资者投资起点金额1元人民币，以1元的整数倍递增；</w:t>
            </w:r>
          </w:p>
          <w:p w14:paraId="24A82050">
            <w:pPr>
              <w:spacing w:line="200" w:lineRule="exact"/>
            </w:pPr>
            <w:r>
              <w:rPr>
                <w:rFonts w:ascii="方正黑体_GBK" w:hAnsi="方正黑体_GBK" w:eastAsia="方正黑体_GBK" w:cs="宋体"/>
                <w:sz w:val="18"/>
                <w:szCs w:val="18"/>
              </w:rPr>
              <w:t>E份额：</w:t>
            </w:r>
          </w:p>
          <w:p w14:paraId="16DC41F8">
            <w:pPr>
              <w:spacing w:line="200" w:lineRule="exact"/>
            </w:pPr>
            <w:r>
              <w:rPr>
                <w:rFonts w:ascii="方正黑体_GBK" w:hAnsi="方正黑体_GBK" w:eastAsia="方正黑体_GBK" w:cs="宋体"/>
                <w:sz w:val="18"/>
                <w:szCs w:val="18"/>
              </w:rPr>
              <w:t>机构投资者投资起点金额100万元人民币，以1元的整数倍递增；</w:t>
            </w:r>
          </w:p>
          <w:p w14:paraId="65AF58CE">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14:paraId="5B3EEF92">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22F1FA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A9A2C86">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14:paraId="50158410">
            <w:pPr>
              <w:spacing w:line="200" w:lineRule="exact"/>
            </w:pPr>
            <w:r>
              <w:rPr>
                <w:rFonts w:ascii="方正黑体_GBK" w:hAnsi="方正黑体_GBK" w:eastAsia="方正黑体_GBK" w:cs="宋体"/>
                <w:sz w:val="18"/>
                <w:szCs w:val="18"/>
              </w:rPr>
              <w:t>A份额/B份额/C份额：</w:t>
            </w:r>
          </w:p>
          <w:p w14:paraId="710447EE">
            <w:pPr>
              <w:spacing w:line="200" w:lineRule="exact"/>
            </w:pPr>
            <w:r>
              <w:rPr>
                <w:rFonts w:ascii="方正黑体_GBK" w:hAnsi="方正黑体_GBK" w:eastAsia="方正黑体_GBK" w:cs="宋体"/>
                <w:sz w:val="18"/>
                <w:szCs w:val="18"/>
              </w:rPr>
              <w:t>暂不设置单个投资者持有金额上限；</w:t>
            </w:r>
          </w:p>
          <w:p w14:paraId="237D03B0">
            <w:pPr>
              <w:spacing w:line="200" w:lineRule="exact"/>
            </w:pPr>
            <w:r>
              <w:rPr>
                <w:rFonts w:ascii="方正黑体_GBK" w:hAnsi="方正黑体_GBK" w:eastAsia="方正黑体_GBK" w:cs="宋体"/>
                <w:sz w:val="18"/>
                <w:szCs w:val="18"/>
              </w:rPr>
              <w:t>E份额：</w:t>
            </w:r>
          </w:p>
          <w:p w14:paraId="30629AC2">
            <w:pPr>
              <w:spacing w:line="200" w:lineRule="exact"/>
            </w:pPr>
            <w:r>
              <w:rPr>
                <w:rFonts w:ascii="方正黑体_GBK" w:hAnsi="方正黑体_GBK" w:eastAsia="方正黑体_GBK" w:cs="宋体"/>
                <w:sz w:val="18"/>
                <w:szCs w:val="18"/>
              </w:rPr>
              <w:t>机构投资者：单个投资者持有金额上限3亿；</w:t>
            </w:r>
          </w:p>
          <w:p w14:paraId="2F366431">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14:paraId="566A4F8C">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14:paraId="6344D2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AFFD6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144CF916">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4AC4B605">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0E7858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0C49E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573BA4F0">
            <w:pPr>
              <w:spacing w:line="200" w:lineRule="exact"/>
            </w:pPr>
            <w:r>
              <w:rPr>
                <w:rFonts w:ascii="方正黑体_GBK" w:hAnsi="方正黑体_GBK" w:eastAsia="方正黑体_GBK" w:cs="宋体"/>
                <w:color w:val="000000"/>
                <w:sz w:val="18"/>
                <w:szCs w:val="18"/>
              </w:rPr>
              <w:t>2025年01月07日 09:00—2025年01月08日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4BD04D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C15AAC8">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2187BD91">
            <w:pPr>
              <w:spacing w:line="200" w:lineRule="exact"/>
            </w:pPr>
            <w:r>
              <w:rPr>
                <w:rFonts w:ascii="方正黑体_GBK" w:hAnsi="方正黑体_GBK" w:eastAsia="方正黑体_GBK" w:cs="宋体"/>
                <w:sz w:val="18"/>
                <w:szCs w:val="18"/>
              </w:rPr>
              <w:t>认购份额=确认认购金额/1。（认购份额以去尾法保留两位小数）</w:t>
            </w:r>
          </w:p>
        </w:tc>
      </w:tr>
      <w:tr w14:paraId="2FD202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B04B07C">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5136F7DE">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188128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A4EC3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0190332B">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2025年01月09日</w:t>
            </w:r>
          </w:p>
        </w:tc>
      </w:tr>
      <w:tr w14:paraId="5F685B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EA454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49F03A4A">
            <w:pPr>
              <w:spacing w:line="200" w:lineRule="exact"/>
            </w:pPr>
            <w:r>
              <w:rPr>
                <w:rFonts w:ascii="方正黑体_GBK" w:hAnsi="方正黑体_GBK" w:eastAsia="方正黑体_GBK" w:cs="宋体"/>
                <w:sz w:val="18"/>
                <w:szCs w:val="18"/>
              </w:rPr>
              <w:t>2025年01月09日—实际到期日（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98天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14:paraId="6E5965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D2142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3C11A0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2025年04月17日</w:t>
            </w:r>
          </w:p>
        </w:tc>
      </w:tr>
      <w:tr w14:paraId="4A7C58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B87BADF">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030191DC">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14:paraId="4A2A00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4FCB4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103F34C4">
            <w:pPr>
              <w:spacing w:line="200" w:lineRule="exact"/>
            </w:pPr>
            <w:r>
              <w:rPr>
                <w:rFonts w:ascii="方正黑体_GBK" w:hAnsi="方正黑体_GBK" w:eastAsia="方正黑体_GBK" w:cs="宋体"/>
                <w:sz w:val="18"/>
                <w:szCs w:val="18"/>
              </w:rPr>
              <w:t>本理财产品存续期间不进行分红。</w:t>
            </w:r>
          </w:p>
          <w:p w14:paraId="010956A7">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7C4122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631F6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17BFED03">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14:paraId="45BF43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62867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4CD8E916">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50C0AC39">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77D2781C">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10ACC3F2">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722EE7AF">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14:paraId="47D7E794">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14:paraId="109D6C27">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14:paraId="669002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C0E19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39C6F740">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60AAE511">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7C391B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CBD53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3C0010AE">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w:t>
            </w:r>
          </w:p>
        </w:tc>
      </w:tr>
      <w:tr w14:paraId="37ECA5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457B5A8">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3229F980">
            <w:pPr>
              <w:spacing w:line="200" w:lineRule="exact"/>
            </w:pPr>
            <w:r>
              <w:rPr>
                <w:rFonts w:ascii="方正黑体_GBK" w:hAnsi="方正黑体_GBK" w:eastAsia="方正黑体_GBK" w:cs="宋体"/>
                <w:b/>
                <w:sz w:val="18"/>
                <w:szCs w:val="18"/>
              </w:rPr>
              <w:t>本理财产品拟投资以下备选非标准化债权类资产：</w:t>
            </w:r>
          </w:p>
          <w:p w14:paraId="72661967">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O2O、航旅、缴费、公共出行等众多领域，资产到期日不超过理财产品到期日。</w:t>
            </w:r>
          </w:p>
          <w:p w14:paraId="21B3A687">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76E4F5B2">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65DCB9C0">
            <w:pPr>
              <w:spacing w:line="200" w:lineRule="exact"/>
            </w:pPr>
            <w:r>
              <w:rPr>
                <w:rFonts w:ascii="方正黑体_GBK" w:hAnsi="方正黑体_GBK" w:eastAsia="方正黑体_GBK" w:cs="宋体"/>
                <w:b/>
                <w:sz w:val="18"/>
                <w:szCs w:val="18"/>
              </w:rPr>
              <w:t>以上资产剩余期限均不超过产品期限。</w:t>
            </w:r>
          </w:p>
          <w:p w14:paraId="4A3D05D4">
            <w:pPr>
              <w:spacing w:line="200" w:lineRule="exact"/>
            </w:pPr>
            <w:r>
              <w:rPr>
                <w:rFonts w:ascii="方正黑体_GBK" w:hAnsi="方正黑体_GBK" w:eastAsia="方正黑体_GBK"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14:paraId="211654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49AEE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7D85804C">
            <w:pPr>
              <w:spacing w:line="200" w:lineRule="exact"/>
            </w:pPr>
            <w:r>
              <w:rPr>
                <w:rFonts w:ascii="方正黑体_GBK" w:hAnsi="方正黑体_GBK" w:eastAsia="方正黑体_GBK" w:cs="宋体"/>
                <w:sz w:val="18"/>
                <w:szCs w:val="18"/>
              </w:rPr>
              <w:t>A份额：业绩比较基准为2.4%(年化)。</w:t>
            </w:r>
          </w:p>
          <w:p w14:paraId="74BB8720">
            <w:pPr>
              <w:spacing w:line="200" w:lineRule="exact"/>
            </w:pPr>
            <w:r>
              <w:rPr>
                <w:rFonts w:ascii="方正黑体_GBK" w:hAnsi="方正黑体_GBK" w:eastAsia="方正黑体_GBK" w:cs="宋体"/>
                <w:sz w:val="18"/>
                <w:szCs w:val="18"/>
              </w:rPr>
              <w:t>B份额：业绩比较基准为2.5%(年化)。</w:t>
            </w:r>
          </w:p>
          <w:p w14:paraId="6DEAEF54">
            <w:pPr>
              <w:spacing w:line="200" w:lineRule="exact"/>
            </w:pPr>
            <w:r>
              <w:rPr>
                <w:rFonts w:ascii="方正黑体_GBK" w:hAnsi="方正黑体_GBK" w:eastAsia="方正黑体_GBK" w:cs="宋体"/>
                <w:sz w:val="18"/>
                <w:szCs w:val="18"/>
              </w:rPr>
              <w:t>C份额：业绩比较基准为2.6%(年化)。</w:t>
            </w:r>
          </w:p>
          <w:p w14:paraId="65BB891F">
            <w:pPr>
              <w:spacing w:line="200" w:lineRule="exact"/>
            </w:pPr>
            <w:r>
              <w:rPr>
                <w:rFonts w:ascii="方正黑体_GBK" w:hAnsi="方正黑体_GBK" w:eastAsia="方正黑体_GBK" w:cs="宋体"/>
                <w:sz w:val="18"/>
                <w:szCs w:val="18"/>
              </w:rPr>
              <w:t>E份额：业绩比较基准为2.7%(年化)。</w:t>
            </w:r>
          </w:p>
          <w:p w14:paraId="252317CA">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14:paraId="18CCF095">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4324CC71">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14:paraId="2736FE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EC7A35B">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14:paraId="36BEC160">
            <w:pPr>
              <w:spacing w:line="200" w:lineRule="exact"/>
            </w:pPr>
            <w:r>
              <w:rPr>
                <w:rFonts w:ascii="方正黑体_GBK" w:hAnsi="方正黑体_GBK" w:eastAsia="方正黑体_GBK" w:cs="宋体"/>
                <w:b/>
                <w:sz w:val="18"/>
                <w:szCs w:val="18"/>
              </w:rPr>
              <w:t>认/申购费：本理财产品暂不收取认/申购费。</w:t>
            </w:r>
          </w:p>
          <w:p w14:paraId="0BD34785">
            <w:pPr>
              <w:spacing w:line="200" w:lineRule="exact"/>
            </w:pPr>
            <w:r>
              <w:rPr>
                <w:rFonts w:ascii="方正黑体_GBK" w:hAnsi="方正黑体_GBK" w:eastAsia="方正黑体_GBK" w:cs="宋体"/>
                <w:b/>
                <w:sz w:val="18"/>
                <w:szCs w:val="18"/>
              </w:rPr>
              <w:t>赎回费：本理财产品暂不收取赎回费。</w:t>
            </w:r>
          </w:p>
          <w:p w14:paraId="5EA7897E">
            <w:pPr>
              <w:spacing w:line="200" w:lineRule="exact"/>
            </w:pPr>
            <w:r>
              <w:rPr>
                <w:rFonts w:ascii="方正黑体_GBK" w:hAnsi="方正黑体_GBK" w:eastAsia="方正黑体_GBK" w:cs="宋体"/>
                <w:b/>
                <w:sz w:val="18"/>
                <w:szCs w:val="18"/>
              </w:rPr>
              <w:t>销售费：本理财产品按前一日理财产品资产净值收取销售费，按日计提。</w:t>
            </w:r>
          </w:p>
          <w:p w14:paraId="05001F57">
            <w:pPr>
              <w:spacing w:line="200" w:lineRule="exact"/>
            </w:pPr>
            <w:r>
              <w:rPr>
                <w:rFonts w:ascii="方正黑体_GBK" w:hAnsi="方正黑体_GBK" w:eastAsia="方正黑体_GBK" w:cs="宋体"/>
                <w:b/>
                <w:sz w:val="18"/>
                <w:szCs w:val="18"/>
              </w:rPr>
              <w:t>A份额：销售费年化0.2%</w:t>
            </w:r>
          </w:p>
          <w:p w14:paraId="2E23E2F7">
            <w:pPr>
              <w:spacing w:line="200" w:lineRule="exact"/>
            </w:pPr>
            <w:r>
              <w:rPr>
                <w:rFonts w:ascii="方正黑体_GBK" w:hAnsi="方正黑体_GBK" w:eastAsia="方正黑体_GBK" w:cs="宋体"/>
                <w:b/>
                <w:sz w:val="18"/>
                <w:szCs w:val="18"/>
              </w:rPr>
              <w:t>B份额：销售费年化0.15%</w:t>
            </w:r>
          </w:p>
          <w:p w14:paraId="18AA3C58">
            <w:pPr>
              <w:spacing w:line="200" w:lineRule="exact"/>
            </w:pPr>
            <w:r>
              <w:rPr>
                <w:rFonts w:ascii="方正黑体_GBK" w:hAnsi="方正黑体_GBK" w:eastAsia="方正黑体_GBK" w:cs="宋体"/>
                <w:b/>
                <w:sz w:val="18"/>
                <w:szCs w:val="18"/>
              </w:rPr>
              <w:t>C份额：销售费年化0.05%</w:t>
            </w:r>
          </w:p>
          <w:p w14:paraId="3763ABA8">
            <w:pPr>
              <w:spacing w:line="200" w:lineRule="exact"/>
            </w:pPr>
            <w:r>
              <w:rPr>
                <w:rFonts w:ascii="方正黑体_GBK" w:hAnsi="方正黑体_GBK" w:eastAsia="方正黑体_GBK" w:cs="宋体"/>
                <w:b/>
                <w:sz w:val="18"/>
                <w:szCs w:val="18"/>
              </w:rPr>
              <w:t>E份额：销售费年化0%</w:t>
            </w:r>
          </w:p>
          <w:p w14:paraId="44DC1BE2">
            <w:pPr>
              <w:spacing w:line="200" w:lineRule="exact"/>
            </w:pPr>
            <w:r>
              <w:rPr>
                <w:rFonts w:ascii="方正黑体_GBK" w:hAnsi="方正黑体_GBK" w:eastAsia="方正黑体_GBK" w:cs="宋体"/>
                <w:b/>
                <w:sz w:val="18"/>
                <w:szCs w:val="18"/>
              </w:rPr>
              <w:t>每日计提的销售费=前一日理财产品资产净值×年化销售费率÷365</w:t>
            </w:r>
          </w:p>
          <w:p w14:paraId="3E25014C">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14:paraId="030BA711">
            <w:pPr>
              <w:spacing w:line="200" w:lineRule="exact"/>
            </w:pPr>
            <w:r>
              <w:rPr>
                <w:rFonts w:ascii="方正黑体_GBK" w:hAnsi="方正黑体_GBK" w:eastAsia="方正黑体_GBK" w:cs="宋体"/>
                <w:b/>
                <w:sz w:val="18"/>
                <w:szCs w:val="18"/>
              </w:rPr>
              <w:t>A份额：固定管理费年化0.18%</w:t>
            </w:r>
          </w:p>
          <w:p w14:paraId="771399E1">
            <w:pPr>
              <w:spacing w:line="200" w:lineRule="exact"/>
            </w:pPr>
            <w:r>
              <w:rPr>
                <w:rFonts w:ascii="方正黑体_GBK" w:hAnsi="方正黑体_GBK" w:eastAsia="方正黑体_GBK" w:cs="宋体"/>
                <w:b/>
                <w:sz w:val="18"/>
                <w:szCs w:val="18"/>
              </w:rPr>
              <w:t>B份额：固定管理费年化0.13%</w:t>
            </w:r>
          </w:p>
          <w:p w14:paraId="77DE414F">
            <w:pPr>
              <w:spacing w:line="200" w:lineRule="exact"/>
            </w:pPr>
            <w:r>
              <w:rPr>
                <w:rFonts w:ascii="方正黑体_GBK" w:hAnsi="方正黑体_GBK" w:eastAsia="方正黑体_GBK" w:cs="宋体"/>
                <w:b/>
                <w:sz w:val="18"/>
                <w:szCs w:val="18"/>
              </w:rPr>
              <w:t>C份额：固定管理费年化0.13%</w:t>
            </w:r>
          </w:p>
          <w:p w14:paraId="69D9B97E">
            <w:pPr>
              <w:spacing w:line="200" w:lineRule="exact"/>
            </w:pPr>
            <w:r>
              <w:rPr>
                <w:rFonts w:ascii="方正黑体_GBK" w:hAnsi="方正黑体_GBK" w:eastAsia="方正黑体_GBK" w:cs="宋体"/>
                <w:b/>
                <w:sz w:val="18"/>
                <w:szCs w:val="18"/>
              </w:rPr>
              <w:t>E份额：固定管理费年化0.08%</w:t>
            </w:r>
          </w:p>
          <w:p w14:paraId="53ED90A5">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68C22128">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725F409A">
            <w:pPr>
              <w:spacing w:line="200" w:lineRule="exact"/>
            </w:pPr>
            <w:r>
              <w:rPr>
                <w:rFonts w:ascii="方正黑体_GBK" w:hAnsi="方正黑体_GBK" w:eastAsia="方正黑体_GBK" w:cs="宋体"/>
                <w:b/>
                <w:sz w:val="18"/>
                <w:szCs w:val="18"/>
              </w:rPr>
              <w:t>每日计提的托管费=前一日理财产品资产净值×年化托管费率÷365</w:t>
            </w:r>
          </w:p>
          <w:p w14:paraId="2EDF107E">
            <w:pPr>
              <w:spacing w:line="200" w:lineRule="exact"/>
            </w:pPr>
            <w:r>
              <w:rPr>
                <w:rFonts w:ascii="方正黑体_GBK" w:hAnsi="方正黑体_GBK" w:eastAsia="方正黑体_GBK" w:cs="宋体"/>
                <w:b/>
                <w:sz w:val="18"/>
                <w:szCs w:val="18"/>
              </w:rPr>
              <w:t>业绩报酬：</w:t>
            </w:r>
          </w:p>
          <w:p w14:paraId="353B77FC">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A份额：到期兑付时，当期产品投资的实际资产组合收益（扣除销售费、固定管理费、托管费等相关费用）超过2.4%（年化，即产品该份额对应的业绩报酬计提基准）时，超过部分管理人将按60%收取业绩报酬。</w:t>
            </w:r>
          </w:p>
          <w:p w14:paraId="235A4C7F">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B份额：到期兑付时，当期产品投资的实际资产组合收益（扣除销售费、固定管理费、托管费等相关费用）超过2.5%（年化，即产品该份额对应的业绩报酬计提基准）时，超过部分管理人将按60%收取业绩报酬。</w:t>
            </w:r>
          </w:p>
          <w:p w14:paraId="2419D517">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C份额：到期兑付时，当期产品投资的实际资产组合收益（扣除销售费、固定管理费、托管费等相关费用）超过2.6%（年化，即产品该份额对应的业绩报酬计提基准）时，超过部分管理人将按60%收取业绩报酬。</w:t>
            </w:r>
          </w:p>
          <w:p w14:paraId="71688DE6">
            <w:pPr>
              <w:spacing w:line="200" w:lineRule="exact"/>
            </w:pPr>
            <w:r>
              <w:rPr>
                <w:rFonts w:ascii="方正黑体_GBK" w:hAnsi="方正黑体_GBK" w:eastAsia="方正黑体_GBK" w:cs="宋体"/>
                <w:b/>
                <w:sz w:val="18"/>
                <w:szCs w:val="18"/>
              </w:rPr>
              <w:t>E份额：到期兑付时，当期产品投资的实际资产组合收益（扣除销售费、固定管理费、托管费等相关费用）超过2.7%（年化，即产品该份额对应的业绩报酬计提基准）时，超过部分管理人将按60%收取业绩报酬。</w:t>
            </w:r>
          </w:p>
          <w:p w14:paraId="195DE838">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5503AD35">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31EB0F77">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481742E4">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30A7E61A">
            <w:pPr>
              <w:spacing w:line="200" w:lineRule="exact"/>
            </w:pPr>
            <w:r>
              <w:rPr>
                <w:rFonts w:ascii="方正黑体_GBK" w:hAnsi="方正黑体_GBK" w:eastAsia="方正黑体_GBK" w:cs="宋体"/>
                <w:b/>
                <w:sz w:val="18"/>
                <w:szCs w:val="18"/>
              </w:rPr>
              <w:t>计算本区间业绩报酬的公式如下：</w:t>
            </w:r>
          </w:p>
          <w:p w14:paraId="591D0891">
            <w:pPr>
              <w:spacing w:line="200" w:lineRule="exact"/>
            </w:pPr>
            <w:r>
              <w:rPr>
                <w:rFonts w:ascii="方正黑体_GBK" w:hAnsi="方正黑体_GBK" w:eastAsia="方正黑体_GBK" w:cs="宋体"/>
                <w:b/>
                <w:sz w:val="18"/>
                <w:szCs w:val="18"/>
              </w:rPr>
              <w:t>A={B-C*D*(1+E*F/365)}*G。</w:t>
            </w:r>
          </w:p>
          <w:p w14:paraId="35BF9494">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795FAA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35326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5C57D8C1">
            <w:pPr>
              <w:spacing w:line="200" w:lineRule="exact"/>
            </w:pPr>
            <w:r>
              <w:rPr>
                <w:rFonts w:ascii="方正黑体_GBK" w:hAnsi="方正黑体_GBK" w:eastAsia="方正黑体_GBK" w:cs="宋体"/>
                <w:sz w:val="18"/>
                <w:szCs w:val="18"/>
              </w:rPr>
              <w:t>具体详见本理财产品风险揭示书。</w:t>
            </w:r>
          </w:p>
        </w:tc>
      </w:tr>
      <w:tr w14:paraId="6E4AE8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21F09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06B43CC8">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6B89A316">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47D89436">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278BDF93">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6CF2C946">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1B9F0978">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12671114">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6CDC4AE4">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5CBBD1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77C23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7B030485">
            <w:pPr>
              <w:spacing w:line="200" w:lineRule="exact"/>
              <w:jc w:val="left"/>
            </w:pPr>
            <w:r>
              <w:rPr>
                <w:rFonts w:ascii="方正黑体_GBK" w:hAnsi="方正黑体_GBK" w:eastAsia="方正黑体_GBK" w:cs="宋体"/>
                <w:sz w:val="18"/>
                <w:szCs w:val="18"/>
              </w:rPr>
              <w:t>本理财产品销售机构为南京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蒙商银行股份有限公司、江苏江南农村商业银行股份有限公司、桂林银行股份有限公司、富邦华一银行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甘肃银行股份有限公司、台州银行股份有限公司、浙江民泰商业银行股份有限公司、江苏仪征农村商业银行股份有限公司、金华银行股份有限公司。管理人有权调整本理财产品的销售机构并进行信息披露。</w:t>
            </w:r>
          </w:p>
          <w:p w14:paraId="5BE688C0">
            <w:pPr>
              <w:spacing w:line="200" w:lineRule="exact"/>
              <w:jc w:val="left"/>
            </w:pPr>
            <w:r>
              <w:rPr>
                <w:rFonts w:ascii="方正黑体_GBK" w:hAnsi="方正黑体_GBK" w:eastAsia="方正黑体_GBK" w:cs="宋体"/>
                <w:sz w:val="18"/>
                <w:szCs w:val="18"/>
              </w:rPr>
              <w:t>销售机构主要职责如下：</w:t>
            </w:r>
          </w:p>
          <w:p w14:paraId="75A33FD0">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548E75C3">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52F597A4">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798D9E78">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2407D221">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453F535B">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3D3E6A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DAA4D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01EBF4C6">
            <w:pPr>
              <w:spacing w:line="200" w:lineRule="exact"/>
            </w:pPr>
            <w:r>
              <w:rPr>
                <w:rFonts w:ascii="方正黑体_GBK" w:hAnsi="方正黑体_GBK" w:eastAsia="方正黑体_GBK" w:cs="宋体"/>
                <w:sz w:val="18"/>
                <w:szCs w:val="18"/>
              </w:rPr>
              <w:t>本理财产品托管人为南京银行股份有限公司，主要职责如下：</w:t>
            </w:r>
          </w:p>
          <w:p w14:paraId="01CB4D9D">
            <w:pPr>
              <w:spacing w:line="200" w:lineRule="exact"/>
            </w:pPr>
            <w:r>
              <w:rPr>
                <w:rFonts w:ascii="方正黑体_GBK" w:hAnsi="方正黑体_GBK" w:eastAsia="方正黑体_GBK" w:cs="宋体"/>
                <w:sz w:val="18"/>
                <w:szCs w:val="18"/>
              </w:rPr>
              <w:t>1.安全保管理财产品财产；</w:t>
            </w:r>
          </w:p>
          <w:p w14:paraId="408797C8">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248940D1">
            <w:pPr>
              <w:spacing w:line="200" w:lineRule="exact"/>
            </w:pPr>
            <w:r>
              <w:rPr>
                <w:rFonts w:ascii="方正黑体_GBK" w:hAnsi="方正黑体_GBK" w:eastAsia="方正黑体_GBK" w:cs="宋体"/>
                <w:sz w:val="18"/>
                <w:szCs w:val="18"/>
              </w:rPr>
              <w:t>3.按照托管协议约定和管理人的投资指令，及时办理清算、交割事宜；</w:t>
            </w:r>
          </w:p>
          <w:p w14:paraId="57C3E597">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6A3C08D3">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6505FAAE">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3138F0DC">
            <w:pPr>
              <w:spacing w:line="200" w:lineRule="exact"/>
            </w:pPr>
            <w:r>
              <w:rPr>
                <w:rFonts w:ascii="方正黑体_GBK" w:hAnsi="方正黑体_GBK" w:eastAsia="方正黑体_GBK" w:cs="宋体"/>
                <w:sz w:val="18"/>
                <w:szCs w:val="18"/>
              </w:rPr>
              <w:t>7.理财托管业务活动的记录、账册、报表和其他相关资料保存20年以上；</w:t>
            </w:r>
          </w:p>
          <w:p w14:paraId="0E98CC45">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18A7D8D1">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66C25B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90CFC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7B594CA5">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保资产管理有限公司、中粮信托有限责任公司、鑫元基金管理有限公司，上述投资合作机构主要职责对应如下，具体职责以管理人与投资合作机构签署的合同为准。</w:t>
            </w:r>
          </w:p>
          <w:p w14:paraId="5FE87488">
            <w:pPr>
              <w:spacing w:line="200" w:lineRule="exact"/>
            </w:pPr>
            <w:r>
              <w:rPr>
                <w:rFonts w:ascii="方正黑体_GBK" w:hAnsi="方正黑体_GBK" w:eastAsia="方正黑体_GBK" w:cs="宋体"/>
                <w:sz w:val="18"/>
                <w:szCs w:val="18"/>
              </w:rPr>
              <w:t>1.合作机构为理财产品所投资资产管理产品的发行机构，主要承担资产管理产品的管理人职责：平安资产管理有限责任公司、太平洋资产管理有限责任公司、太平资产管理有限公司、中国人保资产管理有限公司。</w:t>
            </w:r>
          </w:p>
          <w:p w14:paraId="21C740F8">
            <w:pPr>
              <w:spacing w:line="200" w:lineRule="exact"/>
            </w:pPr>
            <w:r>
              <w:rPr>
                <w:rFonts w:ascii="方正黑体_GBK" w:hAnsi="方正黑体_GBK" w:eastAsia="方正黑体_GBK" w:cs="宋体"/>
                <w:sz w:val="18"/>
                <w:szCs w:val="18"/>
              </w:rPr>
              <w:t>2.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粮信托有限责任公司、鑫元基金管理有限公司。</w:t>
            </w:r>
          </w:p>
          <w:p w14:paraId="7A0E9212">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69172905">
            <w:pPr>
              <w:spacing w:line="200" w:lineRule="exact"/>
            </w:pPr>
            <w:r>
              <w:rPr>
                <w:rFonts w:ascii="方正黑体_GBK" w:hAnsi="方正黑体_GBK" w:eastAsia="方正黑体_GBK" w:cs="宋体"/>
                <w:sz w:val="18"/>
                <w:szCs w:val="18"/>
              </w:rPr>
              <w:t>上述投资合作机构简介：</w:t>
            </w:r>
          </w:p>
          <w:p w14:paraId="21100996">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6C3593E3">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3990B793">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592DF116">
            <w:pPr>
              <w:spacing w:line="200" w:lineRule="exact"/>
            </w:pPr>
            <w:r>
              <w:rPr>
                <w:rFonts w:ascii="方正黑体_GBK" w:hAnsi="方正黑体_GBK" w:eastAsia="方正黑体_GBK" w:cs="宋体"/>
                <w:sz w:val="18"/>
                <w:szCs w:val="18"/>
              </w:rPr>
              <w:t>国联基金管理有限公司成立于2013年05月31日，注册资本金11.5亿元。</w:t>
            </w:r>
          </w:p>
          <w:p w14:paraId="05EA46B1">
            <w:pPr>
              <w:spacing w:line="200" w:lineRule="exact"/>
            </w:pPr>
            <w:r>
              <w:rPr>
                <w:rFonts w:ascii="方正黑体_GBK" w:hAnsi="方正黑体_GBK" w:eastAsia="方正黑体_GBK" w:cs="宋体"/>
                <w:sz w:val="18"/>
                <w:szCs w:val="18"/>
              </w:rPr>
              <w:t>国投泰康信托有限公司成立于1986年06月26日，注册资本金267,054.5454万人民币。</w:t>
            </w:r>
          </w:p>
          <w:p w14:paraId="4A419831">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4669F3D6">
            <w:pPr>
              <w:spacing w:line="200" w:lineRule="exact"/>
            </w:pPr>
            <w:r>
              <w:rPr>
                <w:rFonts w:ascii="方正黑体_GBK" w:hAnsi="方正黑体_GBK" w:eastAsia="方正黑体_GBK" w:cs="宋体"/>
                <w:sz w:val="18"/>
                <w:szCs w:val="18"/>
              </w:rPr>
              <w:t>华鑫国际信托有限公司成立于1984年06月01日，注册资本金73.95亿元。</w:t>
            </w:r>
          </w:p>
          <w:p w14:paraId="377FF7D5">
            <w:pPr>
              <w:spacing w:line="200" w:lineRule="exact"/>
            </w:pPr>
            <w:r>
              <w:rPr>
                <w:rFonts w:ascii="方正黑体_GBK" w:hAnsi="方正黑体_GBK" w:eastAsia="方正黑体_GBK" w:cs="宋体"/>
                <w:sz w:val="18"/>
                <w:szCs w:val="18"/>
              </w:rPr>
              <w:t>建信保险资产管理有限公司成立于2016年04月27日，注册资本金3亿元。</w:t>
            </w:r>
          </w:p>
          <w:p w14:paraId="01EA34A8">
            <w:pPr>
              <w:spacing w:line="200" w:lineRule="exact"/>
            </w:pPr>
            <w:r>
              <w:rPr>
                <w:rFonts w:ascii="方正黑体_GBK" w:hAnsi="方正黑体_GBK" w:eastAsia="方正黑体_GBK" w:cs="宋体"/>
                <w:sz w:val="18"/>
                <w:szCs w:val="18"/>
              </w:rPr>
              <w:t>江苏省国际信托有限责任公司成立于1992年06月01日，注册资本金87.60亿元。</w:t>
            </w:r>
          </w:p>
          <w:p w14:paraId="4FE92AD8">
            <w:pPr>
              <w:spacing w:line="200" w:lineRule="exact"/>
            </w:pPr>
            <w:r>
              <w:rPr>
                <w:rFonts w:ascii="方正黑体_GBK" w:hAnsi="方正黑体_GBK" w:eastAsia="方正黑体_GBK" w:cs="宋体"/>
                <w:sz w:val="18"/>
                <w:szCs w:val="18"/>
              </w:rPr>
              <w:t>交银国际信托有限公司成立于1983年11月23日，注册资本金57.65亿元。</w:t>
            </w:r>
          </w:p>
          <w:p w14:paraId="7277A08E">
            <w:pPr>
              <w:spacing w:line="200" w:lineRule="exact"/>
            </w:pPr>
            <w:r>
              <w:rPr>
                <w:rFonts w:ascii="方正黑体_GBK" w:hAnsi="方正黑体_GBK" w:eastAsia="方正黑体_GBK" w:cs="宋体"/>
                <w:sz w:val="18"/>
                <w:szCs w:val="18"/>
              </w:rPr>
              <w:t>平安资产管理有限责任公司成立于2005年05月27日，注册资本金15亿元。</w:t>
            </w:r>
          </w:p>
          <w:p w14:paraId="27E01016">
            <w:pPr>
              <w:spacing w:line="200" w:lineRule="exact"/>
            </w:pPr>
            <w:r>
              <w:rPr>
                <w:rFonts w:ascii="方正黑体_GBK" w:hAnsi="方正黑体_GBK" w:eastAsia="方正黑体_GBK" w:cs="宋体"/>
                <w:sz w:val="18"/>
                <w:szCs w:val="18"/>
              </w:rPr>
              <w:t>太平洋资产管理有限责任公司成立于2006年06月09日，注册资本金21亿元。</w:t>
            </w:r>
          </w:p>
          <w:p w14:paraId="799D2C54">
            <w:pPr>
              <w:spacing w:line="200" w:lineRule="exact"/>
            </w:pPr>
            <w:r>
              <w:rPr>
                <w:rFonts w:ascii="方正黑体_GBK" w:hAnsi="方正黑体_GBK" w:eastAsia="方正黑体_GBK" w:cs="宋体"/>
                <w:sz w:val="18"/>
                <w:szCs w:val="18"/>
              </w:rPr>
              <w:t>太平资产管理有限公司成立于2006年09月01日，注册资本金10亿元。</w:t>
            </w:r>
          </w:p>
          <w:p w14:paraId="10836EFB">
            <w:pPr>
              <w:spacing w:line="200" w:lineRule="exact"/>
            </w:pPr>
            <w:r>
              <w:rPr>
                <w:rFonts w:ascii="方正黑体_GBK" w:hAnsi="方正黑体_GBK" w:eastAsia="方正黑体_GBK" w:cs="宋体"/>
                <w:sz w:val="18"/>
                <w:szCs w:val="18"/>
              </w:rPr>
              <w:t>中国人保资产管理有限公司成立于2003年07月16日，注册资本金12.98亿元。</w:t>
            </w:r>
          </w:p>
          <w:p w14:paraId="2B3CC7C6">
            <w:pPr>
              <w:spacing w:line="200" w:lineRule="exact"/>
            </w:pPr>
            <w:r>
              <w:rPr>
                <w:rFonts w:ascii="方正黑体_GBK" w:hAnsi="方正黑体_GBK" w:eastAsia="方正黑体_GBK" w:cs="宋体"/>
                <w:sz w:val="18"/>
                <w:szCs w:val="18"/>
              </w:rPr>
              <w:t>中粮信托有限责任公司成立于2009年07月27日，注册资本金28.3亿元。</w:t>
            </w:r>
          </w:p>
          <w:p w14:paraId="23C17758">
            <w:pPr>
              <w:spacing w:line="200" w:lineRule="exact"/>
            </w:pPr>
            <w:r>
              <w:rPr>
                <w:rFonts w:ascii="方正黑体_GBK" w:hAnsi="方正黑体_GBK" w:eastAsia="方正黑体_GBK" w:cs="宋体"/>
                <w:sz w:val="18"/>
                <w:szCs w:val="18"/>
              </w:rPr>
              <w:t>鑫元基金管理有限公司成立于2013年08月29日，注册资本金17亿元。</w:t>
            </w:r>
          </w:p>
        </w:tc>
      </w:tr>
      <w:tr w14:paraId="42161C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B2520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36770AC0">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14:paraId="1EAE5157">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14:paraId="27153E0A">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14:paraId="3A3622B2">
            <w:pPr>
              <w:spacing w:line="200" w:lineRule="exact"/>
              <w:jc w:val="left"/>
            </w:pPr>
            <w:r>
              <w:rPr>
                <w:rFonts w:ascii="方正黑体_GBK" w:hAnsi="方正黑体_GBK" w:eastAsia="方正黑体_GBK" w:cs="宋体"/>
                <w:b/>
                <w:color w:val="000000"/>
                <w:sz w:val="18"/>
                <w:szCs w:val="18"/>
              </w:rPr>
              <w:t>4.</w:t>
            </w:r>
            <w:r>
              <w:rPr>
                <w:rFonts w:ascii="方正黑体_GBK" w:hAnsi="方正黑体_GBK" w:eastAsia="方正黑体_GBK" w:cs="宋体"/>
                <w:b/>
                <w:sz w:val="18"/>
                <w:szCs w:val="18"/>
              </w:rPr>
              <w:t>本理财产品计划投资不存在活跃交易市场，并且需要采用估值技术确定公允价值的资产；计划投资上述资产的比例达到理财产品净资产50％以上。</w:t>
            </w:r>
          </w:p>
        </w:tc>
      </w:tr>
      <w:tr w14:paraId="6684A6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239FD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17E00FC4">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04C74467">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03490BA6">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67B36D27">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715183BC">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53D724E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786EFD95">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7B9E57F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1FC75A0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47E89EF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017205B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77857459">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7769059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586E540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2F91A80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60A616A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6D78B78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1606794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6001A295">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58E90DE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4441BB9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4699A32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2126A5C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3F16AA0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1A636BD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4712935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096A2C6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1195F19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47550CD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000A469D">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178F841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51B28BE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03519030">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4024C6C9">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南银理财珠联璧合鑫逸稳三个月65期封闭式公募人民币理财产品</w:t>
      </w:r>
      <w:r>
        <w:rPr>
          <w:rFonts w:hint="eastAsia" w:ascii="方正黑体_GBK" w:hAnsi="方正黑体_GBK" w:eastAsia="方正黑体_GBK"/>
          <w:vanish w:val="0"/>
          <w:color w:val="3D3D3D"/>
          <w:kern w:val="0"/>
          <w:sz w:val="15"/>
          <w:szCs w:val="15"/>
        </w:rPr>
        <w:t>。</w:t>
      </w:r>
    </w:p>
    <w:p w14:paraId="2822745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331EC01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282C3A5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75041D6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205D4442">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764AF78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53C4A7D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69E0F96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696114BC">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24049B6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41E2379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74B660F3">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5E0964B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746EE5A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4C4D8DE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71AB87B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6A1164A2">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76C92DE7">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0F3B60DE">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7C11ADEE">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6E0A8358">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12035ACC">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4309B056">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7FE613EA">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211054C7">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435955FB">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1F9B5C4F">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4CE51DB2">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4A97E81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260AF687">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14:paraId="684ED2C7">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14:paraId="54853846">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14:paraId="48FE66A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0DC545FD">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673C42C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18248F2D">
      <w:pPr>
        <w:spacing w:line="200" w:lineRule="exact"/>
        <w:ind w:firstLine="300"/>
        <w:jc w:val="both"/>
      </w:pPr>
      <w:r>
        <w:rPr>
          <w:rFonts w:ascii="方正黑体_GBK" w:hAnsi="方正黑体_GBK" w:eastAsia="方正黑体_GBK" w:cs="宋体"/>
          <w:sz w:val="15"/>
          <w:szCs w:val="20"/>
        </w:rPr>
        <w:t>（一）估值日</w:t>
      </w:r>
    </w:p>
    <w:p w14:paraId="4FC29175">
      <w:pPr>
        <w:spacing w:line="200" w:lineRule="exact"/>
        <w:ind w:firstLine="300"/>
        <w:jc w:val="both"/>
      </w:pPr>
      <w:r>
        <w:rPr>
          <w:rFonts w:ascii="方正黑体_GBK" w:hAnsi="方正黑体_GBK" w:eastAsia="方正黑体_GBK" w:cs="宋体"/>
          <w:sz w:val="15"/>
          <w:szCs w:val="20"/>
        </w:rPr>
        <w:t>本理财产品每个工作日进行估值。</w:t>
      </w:r>
    </w:p>
    <w:p w14:paraId="58B44F5B">
      <w:pPr>
        <w:spacing w:line="200" w:lineRule="exact"/>
        <w:ind w:firstLine="300"/>
        <w:jc w:val="both"/>
      </w:pPr>
      <w:r>
        <w:rPr>
          <w:rFonts w:ascii="方正黑体_GBK" w:hAnsi="方正黑体_GBK" w:eastAsia="方正黑体_GBK" w:cs="宋体"/>
          <w:sz w:val="15"/>
          <w:szCs w:val="20"/>
        </w:rPr>
        <w:t>（二）估值对象</w:t>
      </w:r>
    </w:p>
    <w:p w14:paraId="326D0C6C">
      <w:pPr>
        <w:spacing w:line="200" w:lineRule="exact"/>
        <w:ind w:firstLine="300"/>
        <w:jc w:val="both"/>
      </w:pPr>
      <w:r>
        <w:rPr>
          <w:rFonts w:ascii="方正黑体_GBK" w:hAnsi="方正黑体_GBK" w:eastAsia="方正黑体_GBK" w:cs="宋体"/>
          <w:sz w:val="15"/>
          <w:szCs w:val="20"/>
        </w:rPr>
        <w:t>本理财产品所拥有的所有资产及负债。</w:t>
      </w:r>
    </w:p>
    <w:p w14:paraId="13F128C1">
      <w:pPr>
        <w:spacing w:line="200" w:lineRule="exact"/>
        <w:ind w:firstLine="300"/>
        <w:jc w:val="both"/>
      </w:pPr>
      <w:r>
        <w:rPr>
          <w:rFonts w:ascii="方正黑体_GBK" w:hAnsi="方正黑体_GBK" w:eastAsia="方正黑体_GBK" w:cs="宋体"/>
          <w:sz w:val="15"/>
          <w:szCs w:val="20"/>
        </w:rPr>
        <w:t>（三）估值目的</w:t>
      </w:r>
    </w:p>
    <w:p w14:paraId="2C8EEE25">
      <w:pPr>
        <w:spacing w:line="200" w:lineRule="exact"/>
        <w:ind w:firstLine="300"/>
        <w:jc w:val="both"/>
      </w:pPr>
      <w:r>
        <w:rPr>
          <w:rFonts w:ascii="方正黑体_GBK" w:hAnsi="方正黑体_GBK" w:eastAsia="方正黑体_GBK" w:cs="宋体"/>
          <w:sz w:val="15"/>
          <w:szCs w:val="20"/>
        </w:rPr>
        <w:t>客观、准确反映理财产品的价值。</w:t>
      </w:r>
    </w:p>
    <w:p w14:paraId="0EB9F06F">
      <w:pPr>
        <w:spacing w:line="200" w:lineRule="exact"/>
        <w:ind w:firstLine="300"/>
        <w:jc w:val="both"/>
      </w:pPr>
      <w:r>
        <w:rPr>
          <w:rFonts w:ascii="方正黑体_GBK" w:hAnsi="方正黑体_GBK" w:eastAsia="方正黑体_GBK" w:cs="宋体"/>
          <w:sz w:val="15"/>
          <w:szCs w:val="20"/>
        </w:rPr>
        <w:t>（四）估值原则</w:t>
      </w:r>
    </w:p>
    <w:p w14:paraId="66419031">
      <w:pPr>
        <w:spacing w:line="200" w:lineRule="exact"/>
        <w:ind w:firstLine="300"/>
        <w:jc w:val="both"/>
      </w:pPr>
      <w:r>
        <w:rPr>
          <w:rFonts w:ascii="方正黑体_GBK" w:hAnsi="方正黑体_GBK" w:eastAsia="方正黑体_GBK" w:cs="宋体"/>
          <w:sz w:val="18"/>
          <w:szCs w:val="20"/>
        </w:rPr>
        <w:t>理财产品应坚持公允价值计量原则，优先采用市值法，符合会计准则和监管规定的范围内的可选择摊余成本法计量。</w:t>
      </w:r>
    </w:p>
    <w:p w14:paraId="2D3CA3B0">
      <w:pPr>
        <w:spacing w:line="200" w:lineRule="exact"/>
        <w:ind w:firstLine="300"/>
        <w:jc w:val="both"/>
      </w:pPr>
      <w:r>
        <w:rPr>
          <w:rFonts w:ascii="方正黑体_GBK" w:hAnsi="方正黑体_GBK" w:eastAsia="方正黑体_GBK" w:cs="宋体"/>
          <w:sz w:val="15"/>
          <w:szCs w:val="20"/>
        </w:rPr>
        <w:t>（五）估值方法</w:t>
      </w:r>
    </w:p>
    <w:p w14:paraId="37F51E59">
      <w:pPr>
        <w:spacing w:line="200" w:lineRule="exact"/>
        <w:ind w:firstLine="420"/>
      </w:pPr>
      <w:r>
        <w:rPr>
          <w:rFonts w:ascii="方正黑体_GBK" w:hAnsi="方正黑体_GBK" w:eastAsia="方正黑体_GBK" w:cs="宋体"/>
          <w:sz w:val="18"/>
          <w:szCs w:val="20"/>
        </w:rPr>
        <w:t>估值方法中列示的资产品种不代表管理人的实际投向，本理财产品拟投资范围以“投资范围”章节描述为准。</w:t>
      </w:r>
    </w:p>
    <w:p w14:paraId="6B8D6515">
      <w:pPr>
        <w:spacing w:line="200" w:lineRule="exact"/>
        <w:ind w:firstLine="420"/>
      </w:pPr>
      <w:r>
        <w:rPr>
          <w:rFonts w:ascii="方正黑体_GBK" w:hAnsi="方正黑体_GBK" w:eastAsia="方正黑体_GBK" w:cs="宋体"/>
          <w:sz w:val="18"/>
          <w:szCs w:val="20"/>
        </w:rPr>
        <w:t>1.银行存款、回购等货币市场工具</w:t>
      </w:r>
    </w:p>
    <w:p w14:paraId="2B13A6A0">
      <w:pPr>
        <w:spacing w:line="200" w:lineRule="exact"/>
        <w:ind w:firstLine="420"/>
      </w:pPr>
      <w:r>
        <w:rPr>
          <w:rFonts w:ascii="方正黑体_GBK" w:hAnsi="方正黑体_GBK" w:eastAsia="方正黑体_GBK" w:cs="宋体"/>
          <w:sz w:val="18"/>
          <w:szCs w:val="20"/>
        </w:rPr>
        <w:t>以本金列示，逐日计提利息。</w:t>
      </w:r>
    </w:p>
    <w:p w14:paraId="0573E834">
      <w:pPr>
        <w:spacing w:line="200" w:lineRule="exact"/>
        <w:ind w:firstLine="420"/>
      </w:pPr>
      <w:r>
        <w:rPr>
          <w:rFonts w:ascii="方正黑体_GBK" w:hAnsi="方正黑体_GBK" w:eastAsia="方正黑体_GBK" w:cs="宋体"/>
          <w:sz w:val="18"/>
          <w:szCs w:val="20"/>
        </w:rPr>
        <w:t>2.债券类资产</w:t>
      </w:r>
    </w:p>
    <w:p w14:paraId="22DB260E">
      <w:pPr>
        <w:spacing w:line="200" w:lineRule="exact"/>
        <w:ind w:firstLine="420"/>
      </w:pPr>
      <w:r>
        <w:rPr>
          <w:rFonts w:ascii="方正黑体_GBK" w:hAnsi="方正黑体_GBK" w:eastAsia="方正黑体_GBK"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按摊余成本法估值，并按照会计准则采用合理减值计量模型或第三方减值计量结果进行预期信用损失的减值计提。</w:t>
      </w:r>
    </w:p>
    <w:p w14:paraId="6BA8A012">
      <w:pPr>
        <w:spacing w:line="200" w:lineRule="exact"/>
        <w:ind w:firstLine="420"/>
      </w:pPr>
      <w:r>
        <w:rPr>
          <w:rFonts w:ascii="方正黑体_GBK" w:hAnsi="方正黑体_GBK" w:eastAsia="方正黑体_GBK" w:cs="宋体"/>
          <w:sz w:val="18"/>
          <w:szCs w:val="20"/>
        </w:rPr>
        <w:t>3.非标准化债权类资产</w:t>
      </w:r>
    </w:p>
    <w:p w14:paraId="0BACB07C">
      <w:pPr>
        <w:spacing w:line="200" w:lineRule="exact"/>
        <w:ind w:firstLine="420"/>
      </w:pPr>
      <w:r>
        <w:rPr>
          <w:rFonts w:ascii="方正黑体_GBK" w:hAnsi="方正黑体_GBK" w:eastAsia="方正黑体_GBK" w:cs="宋体"/>
          <w:sz w:val="18"/>
          <w:szCs w:val="20"/>
        </w:rPr>
        <w:t>非标准化债权类资产按照公允价值估值，优先采用市值法估值。对于符合企业会计准则及监管规定范围内且分类为“以摊余成本计量的金融资产”的资产按摊余成本法估值，并按照会计准则采用合理减值计量模型或第三方减值计量结果进行预期信用损失的减值计提。</w:t>
      </w:r>
    </w:p>
    <w:p w14:paraId="62ED30C3">
      <w:pPr>
        <w:spacing w:line="200" w:lineRule="exact"/>
        <w:ind w:firstLine="420"/>
      </w:pPr>
      <w:r>
        <w:rPr>
          <w:rFonts w:ascii="方正黑体_GBK" w:hAnsi="方正黑体_GBK" w:eastAsia="方正黑体_GBK" w:cs="宋体"/>
          <w:sz w:val="18"/>
          <w:szCs w:val="20"/>
        </w:rPr>
        <w:t>4.证券投资基金、资管计划、信托计划等资产</w:t>
      </w:r>
    </w:p>
    <w:p w14:paraId="27C2932E">
      <w:pPr>
        <w:spacing w:line="200" w:lineRule="exact"/>
        <w:ind w:firstLine="420"/>
      </w:pPr>
      <w:r>
        <w:rPr>
          <w:rFonts w:ascii="方正黑体_GBK" w:hAnsi="方正黑体_GBK" w:eastAsia="方正黑体_GBK" w:cs="宋体"/>
          <w:sz w:val="18"/>
          <w:szCs w:val="20"/>
        </w:rPr>
        <w:t>按照公允价值估值，优先采用市值法估值。管理人将根据监管要求进行穿透管理，资管产品穿透后与理财公司关于同一投资品种的估值原则、政策、技术和方法等一致。</w:t>
      </w:r>
    </w:p>
    <w:p w14:paraId="7194D1AB">
      <w:pPr>
        <w:spacing w:line="200" w:lineRule="exact"/>
        <w:ind w:firstLine="420"/>
      </w:pPr>
      <w:r>
        <w:rPr>
          <w:rFonts w:ascii="方正黑体_GBK" w:hAnsi="方正黑体_GBK" w:eastAsia="方正黑体_GBK" w:cs="宋体"/>
          <w:sz w:val="18"/>
          <w:szCs w:val="20"/>
        </w:rPr>
        <w:t>5.股权类及其他资产</w:t>
      </w:r>
    </w:p>
    <w:p w14:paraId="1D040DA6">
      <w:pPr>
        <w:spacing w:line="200" w:lineRule="exact"/>
        <w:ind w:firstLine="420"/>
      </w:pPr>
      <w:r>
        <w:rPr>
          <w:rFonts w:ascii="方正黑体_GBK" w:hAnsi="方正黑体_GBK" w:eastAsia="方正黑体_GBK" w:cs="宋体"/>
          <w:sz w:val="18"/>
          <w:szCs w:val="20"/>
        </w:rPr>
        <w:t>按照公允价值估值，优先采用市值法估值。</w:t>
      </w:r>
    </w:p>
    <w:p w14:paraId="6DEB1FB3">
      <w:pPr>
        <w:spacing w:line="200" w:lineRule="exact"/>
        <w:ind w:firstLine="420"/>
      </w:pPr>
      <w:r>
        <w:rPr>
          <w:rFonts w:ascii="方正黑体_GBK" w:hAnsi="方正黑体_GBK" w:eastAsia="方正黑体_GBK" w:cs="宋体"/>
          <w:sz w:val="18"/>
          <w:szCs w:val="20"/>
        </w:rPr>
        <w:t>6.如有新增事项或变更事项，按国家最新规定或监管最新要求进行调整。</w:t>
      </w:r>
    </w:p>
    <w:p w14:paraId="5EC5F618">
      <w:pPr>
        <w:spacing w:line="200" w:lineRule="exact"/>
        <w:ind w:firstLine="300"/>
        <w:jc w:val="both"/>
      </w:pPr>
      <w:r>
        <w:rPr>
          <w:rFonts w:ascii="方正黑体_GBK" w:hAnsi="方正黑体_GBK" w:eastAsia="方正黑体_GBK" w:cs="宋体"/>
          <w:sz w:val="15"/>
          <w:szCs w:val="20"/>
        </w:rPr>
        <w:t>（六）估值错误及暂停估值</w:t>
      </w:r>
    </w:p>
    <w:p w14:paraId="0C1F7825">
      <w:pPr>
        <w:spacing w:line="200" w:lineRule="exact"/>
        <w:ind w:firstLine="300"/>
        <w:jc w:val="both"/>
      </w:pPr>
      <w:r>
        <w:rPr>
          <w:rFonts w:ascii="方正黑体_GBK" w:hAnsi="方正黑体_GBK" w:eastAsia="方正黑体_GBK" w:cs="宋体"/>
          <w:sz w:val="18"/>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189476B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247E141B">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730E320A">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4B1169C5">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33C5050A">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44E21DF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7F8EF709">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7EFAF1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7F239A21">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5BA5FAC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26DBEBFE">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5F252D0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0BD9D6CA">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0E24CBE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599B1197">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35E1DB4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6290AA7A">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6F60C3E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777A351D">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7551236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22D7469B">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208A1DB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07CD621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2702A6C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13EAF79B">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158FEE0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71D4131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74269F6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1C47C8A9">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03C134B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452F841B">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067353B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5968727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1BA7F34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37A61DC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35B3502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14:paraId="2183E9A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4C4C7CAD">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40FD7605">
      <w:pPr>
        <w:pStyle w:val="11"/>
        <w:rPr>
          <w:rFonts w:hint="eastAsia" w:ascii="方正黑体_GBK" w:hAnsi="方正黑体_GBK" w:eastAsia="方正黑体_GBK"/>
          <w:b/>
          <w:bCs/>
          <w:color w:val="3D3D3D"/>
          <w:kern w:val="0"/>
          <w:sz w:val="15"/>
          <w:szCs w:val="15"/>
        </w:rPr>
      </w:pPr>
    </w:p>
    <w:p w14:paraId="7E0E4BBF">
      <w:pPr>
        <w:rPr>
          <w:rFonts w:hint="eastAsia" w:ascii="方正黑体_GBK" w:hAnsi="方正黑体_GBK" w:eastAsia="方正黑体_GBK"/>
          <w:b/>
          <w:bCs/>
          <w:color w:val="3D3D3D"/>
          <w:kern w:val="0"/>
          <w:sz w:val="15"/>
          <w:szCs w:val="15"/>
        </w:rPr>
      </w:pPr>
    </w:p>
    <w:p w14:paraId="5E068051">
      <w:pPr>
        <w:rPr>
          <w:rFonts w:hint="eastAsia" w:ascii="方正黑体_GBK" w:hAnsi="方正黑体_GBK" w:eastAsia="方正黑体_GBK"/>
          <w:b/>
          <w:bCs/>
          <w:color w:val="3D3D3D"/>
          <w:kern w:val="0"/>
          <w:sz w:val="15"/>
          <w:szCs w:val="15"/>
        </w:rPr>
      </w:pPr>
    </w:p>
    <w:p w14:paraId="5417A733">
      <w:pPr>
        <w:rPr>
          <w:rFonts w:hint="eastAsia" w:ascii="方正黑体_GBK" w:hAnsi="方正黑体_GBK" w:eastAsia="方正黑体_GBK"/>
          <w:b/>
          <w:bCs/>
          <w:color w:val="3D3D3D"/>
          <w:kern w:val="0"/>
          <w:sz w:val="15"/>
          <w:szCs w:val="15"/>
        </w:rPr>
      </w:pPr>
      <w:bookmarkStart w:id="0" w:name="_GoBack"/>
      <w:bookmarkEnd w:id="0"/>
    </w:p>
    <w:p w14:paraId="208610BF">
      <w:pPr>
        <w:rPr>
          <w:rFonts w:hint="eastAsia" w:ascii="方正黑体_GBK" w:hAnsi="方正黑体_GBK" w:eastAsia="方正黑体_GBK"/>
          <w:b/>
          <w:bCs/>
          <w:color w:val="3D3D3D"/>
          <w:kern w:val="0"/>
          <w:sz w:val="15"/>
          <w:szCs w:val="15"/>
        </w:rPr>
      </w:pPr>
    </w:p>
    <w:p w14:paraId="63B56FB2"/>
    <w:p w14:paraId="59A567B7">
      <w:pPr>
        <w:jc w:val="center"/>
        <w:rPr>
          <w:rFonts w:ascii="黑体" w:hAnsi="宋体" w:eastAsia="黑体"/>
          <w:b/>
          <w:bCs/>
          <w:sz w:val="24"/>
          <w:szCs w:val="15"/>
        </w:rPr>
      </w:pPr>
      <w:r>
        <w:rPr>
          <w:rFonts w:hint="eastAsia" w:ascii="黑体" w:hAnsi="宋体" w:eastAsia="黑体"/>
          <w:b/>
          <w:bCs/>
          <w:sz w:val="24"/>
          <w:szCs w:val="15"/>
        </w:rPr>
        <w:t>投资者权益须知</w:t>
      </w:r>
    </w:p>
    <w:p w14:paraId="1C2BCD48">
      <w:pPr>
        <w:ind w:firstLine="320" w:firstLineChars="200"/>
        <w:jc w:val="center"/>
        <w:rPr>
          <w:rFonts w:ascii="宋体" w:hAnsi="宋体"/>
          <w:b/>
          <w:i/>
          <w:sz w:val="16"/>
          <w:szCs w:val="15"/>
          <w:u w:val="single"/>
        </w:rPr>
      </w:pPr>
    </w:p>
    <w:p w14:paraId="37AC3997">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151CC198">
      <w:pPr>
        <w:pStyle w:val="14"/>
        <w:spacing w:before="0" w:after="0" w:line="240" w:lineRule="auto"/>
        <w:ind w:firstLine="0"/>
        <w:rPr>
          <w:spacing w:val="10"/>
          <w:kern w:val="2"/>
          <w:sz w:val="15"/>
          <w:szCs w:val="15"/>
        </w:rPr>
      </w:pPr>
      <w:r>
        <w:rPr>
          <w:rFonts w:hint="eastAsia"/>
          <w:spacing w:val="10"/>
          <w:kern w:val="2"/>
          <w:sz w:val="15"/>
          <w:szCs w:val="15"/>
        </w:rPr>
        <w:t>尊敬的投资者：</w:t>
      </w:r>
    </w:p>
    <w:p w14:paraId="28CF3F9E">
      <w:pPr>
        <w:pStyle w:val="14"/>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5514742">
      <w:pPr>
        <w:pStyle w:val="14"/>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7BCBDDAF">
      <w:pPr>
        <w:pStyle w:val="14"/>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14:paraId="7A5378A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226F4596">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28AC9D1F">
      <w:pPr>
        <w:pStyle w:val="14"/>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1BCFE518">
      <w:pPr>
        <w:pStyle w:val="14"/>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2592C527">
      <w:pPr>
        <w:pStyle w:val="14"/>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49A25A34">
      <w:pPr>
        <w:pStyle w:val="14"/>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5D73609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0BBDB70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14:paraId="530C409F">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16E7E3CE">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4D0FC8CF">
      <w:pPr>
        <w:pStyle w:val="14"/>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69AAA7AB">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73C7039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14:paraId="7CEF250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14:paraId="74F854D5">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14:paraId="3BB01214">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14:paraId="7D4A44B6">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7B332A30">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FEDDB91">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6E3D1A22">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2335CB09">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14:paraId="6AE5AA8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4A9B823D">
      <w:pPr>
        <w:pStyle w:val="14"/>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4080387A">
      <w:pPr>
        <w:pStyle w:val="14"/>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4262044C">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0A2B992A">
      <w:pPr>
        <w:pStyle w:val="14"/>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72F127CD">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17EC420">
      <w:pPr>
        <w:pStyle w:val="14"/>
        <w:spacing w:before="0" w:after="0" w:line="240" w:lineRule="auto"/>
        <w:ind w:firstLine="341"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6314D4EA">
      <w:pPr>
        <w:pStyle w:val="14"/>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43EB1867">
      <w:pPr>
        <w:pStyle w:val="14"/>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14:paraId="6502A6C4">
      <w:pPr>
        <w:pStyle w:val="14"/>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5E300E3E">
      <w:pPr>
        <w:pStyle w:val="14"/>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14:paraId="5C70E848">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041E1DC2">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1DDB86E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740BB903">
      <w:pPr>
        <w:pStyle w:val="14"/>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391E25C3">
      <w:pPr>
        <w:pStyle w:val="14"/>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6EF868C0">
      <w:pPr>
        <w:pStyle w:val="14"/>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70D0396B">
      <w:pPr>
        <w:pStyle w:val="14"/>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4D692B6A">
      <w:pPr>
        <w:pStyle w:val="14"/>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03C55512">
      <w:pPr>
        <w:pStyle w:val="14"/>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25B963D1">
      <w:pPr>
        <w:pStyle w:val="14"/>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22705DE9">
      <w:pPr>
        <w:pStyle w:val="14"/>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56372292">
      <w:pPr>
        <w:pStyle w:val="14"/>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25D6D406">
      <w:pPr>
        <w:pStyle w:val="14"/>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16EE33B9">
      <w:pPr>
        <w:pStyle w:val="14"/>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4C1E690F">
      <w:pPr>
        <w:pStyle w:val="14"/>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48FD1404">
      <w:pPr>
        <w:pStyle w:val="14"/>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74CEB1DB">
      <w:pPr>
        <w:pStyle w:val="14"/>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750FD085">
      <w:pPr>
        <w:pStyle w:val="14"/>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6935A211">
      <w:pPr>
        <w:pStyle w:val="14"/>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240C21A5">
      <w:pPr>
        <w:pStyle w:val="14"/>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2EC010A0">
      <w:pPr>
        <w:pStyle w:val="14"/>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43653C33">
      <w:pPr>
        <w:pStyle w:val="14"/>
        <w:spacing w:before="0" w:after="0" w:line="240" w:lineRule="auto"/>
        <w:ind w:firstLine="341"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6BBBCF66">
      <w:pPr>
        <w:pStyle w:val="14"/>
        <w:numPr>
          <w:ilvl w:val="0"/>
          <w:numId w:val="5"/>
        </w:numPr>
        <w:spacing w:before="0" w:after="0" w:line="240" w:lineRule="auto"/>
        <w:ind w:firstLine="338"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31A6DD42">
      <w:pPr>
        <w:pStyle w:val="14"/>
        <w:spacing w:before="0" w:after="0" w:line="240" w:lineRule="auto"/>
        <w:ind w:firstLine="338" w:firstLineChars="198"/>
        <w:jc w:val="both"/>
        <w:rPr>
          <w:b/>
          <w:bCs/>
          <w:spacing w:val="10"/>
          <w:kern w:val="2"/>
          <w:sz w:val="15"/>
          <w:szCs w:val="15"/>
        </w:rPr>
      </w:pPr>
    </w:p>
    <w:p w14:paraId="4C73BF91">
      <w:pPr>
        <w:pStyle w:val="14"/>
        <w:spacing w:before="0" w:after="0" w:line="240" w:lineRule="auto"/>
        <w:ind w:firstLine="338" w:firstLineChars="198"/>
        <w:jc w:val="both"/>
        <w:rPr>
          <w:b/>
          <w:bCs/>
          <w:spacing w:val="10"/>
          <w:kern w:val="2"/>
          <w:sz w:val="15"/>
          <w:szCs w:val="15"/>
        </w:rPr>
      </w:pPr>
    </w:p>
    <w:p w14:paraId="39D7D991">
      <w:pPr>
        <w:pStyle w:val="14"/>
        <w:spacing w:before="0" w:after="0" w:line="240" w:lineRule="auto"/>
        <w:ind w:firstLine="338" w:firstLineChars="198"/>
        <w:jc w:val="both"/>
        <w:rPr>
          <w:b/>
          <w:bCs/>
          <w:spacing w:val="10"/>
          <w:kern w:val="2"/>
          <w:sz w:val="15"/>
          <w:szCs w:val="15"/>
        </w:rPr>
      </w:pPr>
    </w:p>
    <w:tbl>
      <w:tblPr>
        <w:tblStyle w:val="15"/>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38171091">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14:paraId="1DB8F5A0">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667A8C60">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86A3B63">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14:paraId="3C087B32">
        <w:tblPrEx>
          <w:tblCellMar>
            <w:top w:w="0" w:type="dxa"/>
            <w:left w:w="108" w:type="dxa"/>
            <w:bottom w:w="0" w:type="dxa"/>
            <w:right w:w="108" w:type="dxa"/>
          </w:tblCellMar>
        </w:tblPrEx>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14:paraId="6060B9A1">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64503429">
            <w:pPr>
              <w:widowControl/>
              <w:snapToGrid w:val="0"/>
              <w:jc w:val="center"/>
              <w:rPr>
                <w:rFonts w:ascii="宋体" w:hAnsi="宋体" w:cs="宋体"/>
                <w:kern w:val="0"/>
                <w:sz w:val="15"/>
                <w:szCs w:val="15"/>
              </w:rPr>
            </w:pPr>
            <w:r>
              <w:rPr>
                <w:rFonts w:hint="eastAsia" w:ascii="宋体" w:hAnsi="宋体" w:cs="宋体"/>
                <w:kern w:val="0"/>
                <w:sz w:val="15"/>
                <w:szCs w:val="15"/>
              </w:rPr>
              <w:t>低风险</w:t>
            </w:r>
          </w:p>
          <w:p w14:paraId="34893082">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5C91A2FC">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14:paraId="212FB2CC">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3C30C9F2">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14:paraId="230FE8E6">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14:paraId="6772DF0E">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14:paraId="2D8DDB37">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14:paraId="0033CFD2">
            <w:pPr>
              <w:widowControl/>
              <w:snapToGrid w:val="0"/>
              <w:jc w:val="center"/>
              <w:rPr>
                <w:rFonts w:ascii="宋体" w:hAnsi="宋体" w:cs="宋体"/>
                <w:kern w:val="0"/>
                <w:sz w:val="15"/>
                <w:szCs w:val="15"/>
              </w:rPr>
            </w:pPr>
            <w:r>
              <w:rPr>
                <w:rFonts w:hint="eastAsia" w:ascii="宋体" w:hAnsi="宋体" w:cs="宋体"/>
                <w:kern w:val="0"/>
                <w:sz w:val="15"/>
                <w:szCs w:val="15"/>
              </w:rPr>
              <w:t>高风险</w:t>
            </w:r>
          </w:p>
          <w:p w14:paraId="7340428B">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14:paraId="617536E1">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6B2CCB4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011D46D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7CF65DF">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705BB5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2DE37CE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03C1DA4A">
            <w:pPr>
              <w:widowControl/>
              <w:snapToGrid w:val="0"/>
              <w:jc w:val="center"/>
              <w:rPr>
                <w:rFonts w:ascii="宋体" w:hAnsi="宋体" w:cs="宋体"/>
                <w:kern w:val="0"/>
                <w:sz w:val="15"/>
                <w:szCs w:val="15"/>
              </w:rPr>
            </w:pPr>
            <w:r>
              <w:rPr>
                <w:rFonts w:hint="eastAsia"/>
                <w:spacing w:val="10"/>
                <w:sz w:val="15"/>
                <w:szCs w:val="15"/>
              </w:rPr>
              <w:t>√</w:t>
            </w:r>
          </w:p>
        </w:tc>
      </w:tr>
      <w:tr w14:paraId="6FC42DF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5BDAB80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14:paraId="37D8DE22">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30AC8C2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2D8EA808">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5143CA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211CF1BC">
            <w:pPr>
              <w:widowControl/>
              <w:snapToGrid w:val="0"/>
              <w:jc w:val="center"/>
              <w:rPr>
                <w:rFonts w:ascii="宋体" w:hAnsi="宋体" w:cs="宋体"/>
                <w:kern w:val="0"/>
                <w:sz w:val="15"/>
                <w:szCs w:val="15"/>
              </w:rPr>
            </w:pPr>
            <w:r>
              <w:rPr>
                <w:rFonts w:hint="eastAsia"/>
                <w:spacing w:val="10"/>
                <w:sz w:val="15"/>
                <w:szCs w:val="15"/>
              </w:rPr>
              <w:t>×</w:t>
            </w:r>
          </w:p>
        </w:tc>
      </w:tr>
      <w:tr w14:paraId="79E02775">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14:paraId="0C8BCACA">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14:paraId="33DB9A2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68C86A1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14:paraId="01C1B921">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7332284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1E109868">
            <w:pPr>
              <w:widowControl/>
              <w:snapToGrid w:val="0"/>
              <w:jc w:val="center"/>
              <w:rPr>
                <w:rFonts w:ascii="宋体" w:hAnsi="宋体" w:cs="宋体"/>
                <w:kern w:val="0"/>
                <w:sz w:val="15"/>
                <w:szCs w:val="15"/>
              </w:rPr>
            </w:pPr>
            <w:r>
              <w:rPr>
                <w:rFonts w:hint="eastAsia"/>
                <w:spacing w:val="10"/>
                <w:sz w:val="15"/>
                <w:szCs w:val="15"/>
              </w:rPr>
              <w:t>×</w:t>
            </w:r>
          </w:p>
        </w:tc>
      </w:tr>
      <w:tr w14:paraId="184008D1">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0CDEC222">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A92B53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14:paraId="3A02443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246D42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03D04872">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1945E8B0">
            <w:pPr>
              <w:widowControl/>
              <w:snapToGrid w:val="0"/>
              <w:jc w:val="center"/>
              <w:rPr>
                <w:rFonts w:ascii="宋体" w:hAnsi="宋体" w:cs="宋体"/>
                <w:kern w:val="0"/>
                <w:sz w:val="15"/>
                <w:szCs w:val="15"/>
              </w:rPr>
            </w:pPr>
            <w:r>
              <w:rPr>
                <w:rFonts w:hint="eastAsia"/>
                <w:spacing w:val="10"/>
                <w:sz w:val="15"/>
                <w:szCs w:val="15"/>
              </w:rPr>
              <w:t>×</w:t>
            </w:r>
          </w:p>
        </w:tc>
      </w:tr>
      <w:tr w14:paraId="0560AEC9">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14:paraId="1D46E6A7">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14:paraId="7FCED84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684F5F4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6A9DEE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43EF8D7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48272D9C">
            <w:pPr>
              <w:widowControl/>
              <w:snapToGrid w:val="0"/>
              <w:jc w:val="center"/>
              <w:rPr>
                <w:rFonts w:ascii="宋体" w:hAnsi="宋体" w:cs="宋体"/>
                <w:kern w:val="0"/>
                <w:sz w:val="15"/>
                <w:szCs w:val="15"/>
              </w:rPr>
            </w:pPr>
            <w:r>
              <w:rPr>
                <w:rFonts w:hint="eastAsia"/>
                <w:spacing w:val="10"/>
                <w:sz w:val="15"/>
                <w:szCs w:val="15"/>
              </w:rPr>
              <w:t>×</w:t>
            </w:r>
          </w:p>
        </w:tc>
      </w:tr>
    </w:tbl>
    <w:p w14:paraId="254E16EB">
      <w:pPr>
        <w:pStyle w:val="14"/>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14:paraId="42C45B62">
      <w:pPr>
        <w:pStyle w:val="14"/>
        <w:spacing w:before="0" w:after="0" w:line="240" w:lineRule="auto"/>
        <w:ind w:firstLine="341" w:firstLineChars="200"/>
        <w:rPr>
          <w:b/>
          <w:spacing w:val="10"/>
          <w:kern w:val="2"/>
          <w:sz w:val="15"/>
          <w:szCs w:val="15"/>
        </w:rPr>
      </w:pPr>
      <w:r>
        <w:rPr>
          <w:rFonts w:hint="eastAsia"/>
          <w:b/>
          <w:spacing w:val="10"/>
          <w:kern w:val="2"/>
          <w:sz w:val="15"/>
          <w:szCs w:val="15"/>
        </w:rPr>
        <w:t>第五条 理财产品信息披露的方式、渠道和频率说明</w:t>
      </w:r>
    </w:p>
    <w:p w14:paraId="5B61E399">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07992B35">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6836E4C9">
      <w:pPr>
        <w:pStyle w:val="14"/>
        <w:spacing w:before="0" w:after="0" w:line="240" w:lineRule="auto"/>
        <w:ind w:firstLine="341" w:firstLineChars="200"/>
        <w:rPr>
          <w:bCs/>
          <w:spacing w:val="10"/>
          <w:kern w:val="2"/>
          <w:sz w:val="15"/>
          <w:szCs w:val="15"/>
        </w:rPr>
      </w:pPr>
      <w:r>
        <w:rPr>
          <w:rFonts w:hint="eastAsia"/>
          <w:b/>
          <w:spacing w:val="10"/>
          <w:kern w:val="2"/>
          <w:sz w:val="15"/>
          <w:szCs w:val="15"/>
        </w:rPr>
        <w:t>第六条 投资者信息保护</w:t>
      </w:r>
    </w:p>
    <w:p w14:paraId="0D681BA5">
      <w:pPr>
        <w:pStyle w:val="14"/>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52C01515">
      <w:pPr>
        <w:pStyle w:val="14"/>
        <w:spacing w:before="0" w:after="0" w:line="240" w:lineRule="auto"/>
        <w:ind w:firstLine="341" w:firstLineChars="200"/>
        <w:rPr>
          <w:b/>
          <w:spacing w:val="10"/>
          <w:kern w:val="2"/>
          <w:sz w:val="15"/>
          <w:szCs w:val="15"/>
        </w:rPr>
      </w:pPr>
      <w:r>
        <w:rPr>
          <w:rFonts w:hint="eastAsia"/>
          <w:b/>
          <w:spacing w:val="10"/>
          <w:kern w:val="2"/>
          <w:sz w:val="15"/>
          <w:szCs w:val="15"/>
        </w:rPr>
        <w:t>第七条 投资者投诉的方式和程序</w:t>
      </w:r>
    </w:p>
    <w:p w14:paraId="21F1DACB">
      <w:pPr>
        <w:pStyle w:val="14"/>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76C15527">
      <w:pPr>
        <w:pStyle w:val="14"/>
        <w:spacing w:before="0" w:after="0" w:line="240" w:lineRule="auto"/>
        <w:ind w:firstLine="341" w:firstLineChars="200"/>
        <w:rPr>
          <w:b/>
          <w:spacing w:val="10"/>
          <w:kern w:val="2"/>
          <w:sz w:val="15"/>
          <w:szCs w:val="15"/>
        </w:rPr>
      </w:pPr>
      <w:r>
        <w:rPr>
          <w:rFonts w:hint="eastAsia"/>
          <w:b/>
          <w:spacing w:val="10"/>
          <w:kern w:val="2"/>
          <w:sz w:val="15"/>
          <w:szCs w:val="15"/>
        </w:rPr>
        <w:t>第八条 联系方式</w:t>
      </w:r>
    </w:p>
    <w:p w14:paraId="29E99C96">
      <w:pPr>
        <w:pStyle w:val="14"/>
        <w:spacing w:before="0" w:after="0" w:line="240" w:lineRule="auto"/>
        <w:ind w:firstLine="341"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3CEAF97C">
      <w:pPr>
        <w:pStyle w:val="14"/>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14:paraId="09D98485">
      <w:pPr>
        <w:pStyle w:val="14"/>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7FC580B">
      <w:pPr>
        <w:pStyle w:val="14"/>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14:paraId="4AD54525">
      <w:pPr>
        <w:pStyle w:val="14"/>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14:paraId="6F882AD6">
      <w:pPr>
        <w:pStyle w:val="14"/>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14:paraId="2DEE9C6A">
      <w:pPr>
        <w:pStyle w:val="14"/>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14:paraId="51A3B5B1">
      <w:pPr>
        <w:pStyle w:val="14"/>
        <w:spacing w:before="0" w:after="0" w:line="240" w:lineRule="auto"/>
        <w:ind w:firstLine="341" w:firstLineChars="200"/>
        <w:rPr>
          <w:b/>
          <w:spacing w:val="10"/>
          <w:kern w:val="2"/>
          <w:sz w:val="15"/>
          <w:szCs w:val="15"/>
        </w:rPr>
      </w:pPr>
    </w:p>
    <w:p w14:paraId="14AE923B">
      <w:pPr>
        <w:pStyle w:val="14"/>
        <w:spacing w:before="0" w:after="0" w:line="240" w:lineRule="auto"/>
        <w:ind w:firstLine="0"/>
        <w:jc w:val="both"/>
        <w:rPr>
          <w:b/>
          <w:spacing w:val="10"/>
          <w:kern w:val="2"/>
          <w:sz w:val="15"/>
          <w:szCs w:val="15"/>
          <w:u w:val="single"/>
        </w:rPr>
      </w:pPr>
    </w:p>
    <w:p w14:paraId="6E840B64">
      <w:pPr>
        <w:pStyle w:val="14"/>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7493AA47">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65898519">
      <w:pPr>
        <w:spacing w:line="0" w:lineRule="atLeast"/>
        <w:jc w:val="center"/>
        <w:rPr>
          <w:rFonts w:eastAsia="黑体"/>
          <w:b/>
          <w:bCs/>
          <w:sz w:val="24"/>
          <w:szCs w:val="15"/>
        </w:rPr>
      </w:pPr>
    </w:p>
    <w:p w14:paraId="67CC8833">
      <w:pPr>
        <w:spacing w:line="0" w:lineRule="atLeast"/>
        <w:jc w:val="center"/>
        <w:rPr>
          <w:rFonts w:eastAsia="黑体"/>
          <w:b/>
          <w:bCs/>
          <w:sz w:val="24"/>
          <w:szCs w:val="15"/>
        </w:rPr>
      </w:pPr>
    </w:p>
    <w:p w14:paraId="38C8FF25">
      <w:pPr>
        <w:spacing w:line="0" w:lineRule="atLeast"/>
        <w:jc w:val="center"/>
        <w:rPr>
          <w:rFonts w:eastAsia="黑体"/>
          <w:b/>
          <w:bCs/>
          <w:sz w:val="24"/>
          <w:szCs w:val="15"/>
        </w:rPr>
      </w:pPr>
    </w:p>
    <w:p w14:paraId="43BC4C0D">
      <w:pPr>
        <w:spacing w:line="0" w:lineRule="atLeast"/>
        <w:jc w:val="center"/>
        <w:rPr>
          <w:rFonts w:eastAsia="黑体"/>
          <w:b/>
          <w:bCs/>
          <w:sz w:val="24"/>
          <w:szCs w:val="15"/>
        </w:rPr>
      </w:pPr>
    </w:p>
    <w:p w14:paraId="123DFED8">
      <w:pPr>
        <w:spacing w:line="0" w:lineRule="atLeast"/>
        <w:jc w:val="center"/>
        <w:rPr>
          <w:rFonts w:eastAsia="黑体"/>
          <w:b/>
          <w:bCs/>
          <w:sz w:val="24"/>
          <w:szCs w:val="15"/>
        </w:rPr>
      </w:pPr>
    </w:p>
    <w:p w14:paraId="212B998E">
      <w:pPr>
        <w:spacing w:line="0" w:lineRule="atLeast"/>
        <w:jc w:val="center"/>
        <w:rPr>
          <w:rFonts w:eastAsia="黑体"/>
          <w:b/>
          <w:bCs/>
          <w:sz w:val="24"/>
          <w:szCs w:val="15"/>
        </w:rPr>
      </w:pPr>
    </w:p>
    <w:p w14:paraId="1712CB9F">
      <w:pPr>
        <w:spacing w:line="0" w:lineRule="atLeast"/>
        <w:jc w:val="center"/>
        <w:rPr>
          <w:rFonts w:eastAsia="黑体"/>
          <w:b/>
          <w:bCs/>
          <w:sz w:val="24"/>
          <w:szCs w:val="15"/>
        </w:rPr>
      </w:pPr>
    </w:p>
    <w:p w14:paraId="4E843CDB">
      <w:pPr>
        <w:spacing w:line="0" w:lineRule="atLeast"/>
        <w:jc w:val="center"/>
        <w:rPr>
          <w:rFonts w:eastAsia="黑体"/>
          <w:b/>
          <w:bCs/>
          <w:sz w:val="24"/>
          <w:szCs w:val="15"/>
        </w:rPr>
      </w:pPr>
    </w:p>
    <w:p w14:paraId="412B9A79">
      <w:pPr>
        <w:spacing w:line="0" w:lineRule="atLeast"/>
        <w:jc w:val="center"/>
        <w:rPr>
          <w:rFonts w:eastAsia="黑体"/>
          <w:b/>
          <w:bCs/>
          <w:sz w:val="24"/>
          <w:szCs w:val="15"/>
        </w:rPr>
      </w:pPr>
    </w:p>
    <w:p w14:paraId="5FEB6B53">
      <w:pPr>
        <w:spacing w:line="0" w:lineRule="atLeast"/>
        <w:jc w:val="center"/>
        <w:rPr>
          <w:rFonts w:eastAsia="黑体"/>
          <w:b/>
          <w:bCs/>
          <w:sz w:val="24"/>
          <w:szCs w:val="15"/>
        </w:rPr>
      </w:pPr>
    </w:p>
    <w:p w14:paraId="5D9E13CD">
      <w:pPr>
        <w:spacing w:line="0" w:lineRule="atLeast"/>
        <w:jc w:val="center"/>
        <w:rPr>
          <w:rFonts w:eastAsia="黑体"/>
          <w:b/>
          <w:bCs/>
          <w:sz w:val="24"/>
          <w:szCs w:val="15"/>
        </w:rPr>
      </w:pPr>
    </w:p>
    <w:p w14:paraId="4559DCE6">
      <w:pPr>
        <w:spacing w:line="0" w:lineRule="atLeast"/>
        <w:jc w:val="center"/>
        <w:rPr>
          <w:rFonts w:eastAsia="黑体"/>
          <w:b/>
          <w:bCs/>
          <w:sz w:val="24"/>
          <w:szCs w:val="15"/>
        </w:rPr>
      </w:pPr>
    </w:p>
    <w:p w14:paraId="2AEBD890">
      <w:pPr>
        <w:spacing w:line="0" w:lineRule="atLeast"/>
        <w:rPr>
          <w:rFonts w:eastAsia="黑体"/>
          <w:b/>
          <w:bCs/>
          <w:sz w:val="24"/>
          <w:szCs w:val="15"/>
        </w:rPr>
      </w:pPr>
    </w:p>
    <w:p w14:paraId="4DBE1661">
      <w:pPr>
        <w:spacing w:line="0" w:lineRule="atLeast"/>
        <w:jc w:val="center"/>
        <w:rPr>
          <w:rFonts w:eastAsia="黑体"/>
          <w:b/>
          <w:bCs/>
          <w:sz w:val="24"/>
          <w:szCs w:val="15"/>
        </w:rPr>
      </w:pPr>
    </w:p>
    <w:p w14:paraId="376947E0">
      <w:pPr>
        <w:spacing w:line="0" w:lineRule="atLeast"/>
        <w:rPr>
          <w:rFonts w:eastAsia="黑体"/>
          <w:b/>
          <w:bCs/>
          <w:sz w:val="24"/>
          <w:szCs w:val="15"/>
        </w:rPr>
      </w:pPr>
    </w:p>
    <w:p w14:paraId="3C328B38">
      <w:pPr>
        <w:spacing w:line="0" w:lineRule="atLeast"/>
        <w:jc w:val="center"/>
        <w:rPr>
          <w:rFonts w:eastAsia="黑体"/>
          <w:b/>
          <w:bCs/>
          <w:sz w:val="24"/>
          <w:szCs w:val="15"/>
        </w:rPr>
      </w:pPr>
    </w:p>
    <w:p w14:paraId="61E22F2D">
      <w:pPr>
        <w:spacing w:line="0" w:lineRule="atLeast"/>
        <w:jc w:val="center"/>
        <w:rPr>
          <w:rFonts w:eastAsia="黑体"/>
          <w:b/>
          <w:bCs/>
          <w:sz w:val="24"/>
          <w:szCs w:val="15"/>
        </w:rPr>
      </w:pPr>
    </w:p>
    <w:p w14:paraId="3813F49D">
      <w:pPr>
        <w:spacing w:line="0" w:lineRule="atLeast"/>
        <w:jc w:val="center"/>
        <w:rPr>
          <w:rFonts w:eastAsia="黑体"/>
          <w:b/>
          <w:bCs/>
          <w:sz w:val="24"/>
          <w:szCs w:val="15"/>
        </w:rPr>
      </w:pPr>
      <w:r>
        <w:rPr>
          <w:rFonts w:eastAsia="黑体"/>
          <w:b/>
          <w:bCs/>
          <w:sz w:val="24"/>
          <w:szCs w:val="15"/>
        </w:rPr>
        <w:t>理财产品销售协议书</w:t>
      </w:r>
    </w:p>
    <w:p w14:paraId="584030CC">
      <w:pPr>
        <w:tabs>
          <w:tab w:val="left" w:pos="0"/>
        </w:tabs>
        <w:jc w:val="center"/>
      </w:pPr>
    </w:p>
    <w:p w14:paraId="14588B29">
      <w:pPr>
        <w:tabs>
          <w:tab w:val="left" w:pos="0"/>
        </w:tabs>
        <w:jc w:val="center"/>
      </w:pPr>
    </w:p>
    <w:p w14:paraId="20F0DC87">
      <w:pPr>
        <w:tabs>
          <w:tab w:val="left" w:pos="0"/>
        </w:tabs>
        <w:jc w:val="center"/>
      </w:pPr>
    </w:p>
    <w:p w14:paraId="11625D0D">
      <w:pPr>
        <w:tabs>
          <w:tab w:val="left" w:pos="0"/>
        </w:tabs>
        <w:jc w:val="center"/>
      </w:pPr>
    </w:p>
    <w:p w14:paraId="1280B604">
      <w:pPr>
        <w:tabs>
          <w:tab w:val="left" w:pos="0"/>
        </w:tabs>
        <w:jc w:val="center"/>
      </w:pPr>
    </w:p>
    <w:p w14:paraId="620127AC">
      <w:pPr>
        <w:tabs>
          <w:tab w:val="left" w:pos="0"/>
        </w:tabs>
        <w:jc w:val="center"/>
      </w:pPr>
    </w:p>
    <w:p w14:paraId="2C385FE7">
      <w:pPr>
        <w:tabs>
          <w:tab w:val="left" w:pos="0"/>
        </w:tabs>
        <w:jc w:val="center"/>
      </w:pPr>
    </w:p>
    <w:p w14:paraId="7D5B1081">
      <w:pPr>
        <w:tabs>
          <w:tab w:val="left" w:pos="0"/>
        </w:tabs>
        <w:jc w:val="center"/>
      </w:pPr>
    </w:p>
    <w:p w14:paraId="47FE37F7">
      <w:pPr>
        <w:tabs>
          <w:tab w:val="left" w:pos="0"/>
        </w:tabs>
        <w:jc w:val="center"/>
      </w:pPr>
      <w:r>
        <w:t>编制单位：</w:t>
      </w:r>
      <w:r>
        <w:rPr>
          <w:u w:val="single"/>
        </w:rPr>
        <w:t>南银理财有限责任公司</w:t>
      </w:r>
    </w:p>
    <w:p w14:paraId="39763760">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14:paraId="7E969635">
      <w:pPr>
        <w:adjustRightInd w:val="0"/>
        <w:snapToGrid w:val="0"/>
        <w:spacing w:line="0" w:lineRule="atLeast"/>
        <w:rPr>
          <w:b/>
          <w:bCs/>
        </w:rPr>
      </w:pPr>
      <w:r>
        <w:rPr>
          <w:b/>
          <w:bCs/>
        </w:rPr>
        <w:t>风险提示：</w:t>
      </w:r>
    </w:p>
    <w:p w14:paraId="6A1F0F3D">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14:paraId="16463BBC">
      <w:pPr>
        <w:tabs>
          <w:tab w:val="left" w:pos="7920"/>
          <w:tab w:val="left" w:pos="8100"/>
        </w:tabs>
        <w:spacing w:line="0" w:lineRule="atLeast"/>
        <w:rPr>
          <w:b/>
          <w:bCs/>
        </w:rPr>
      </w:pPr>
    </w:p>
    <w:p w14:paraId="33054751">
      <w:pPr>
        <w:spacing w:line="0" w:lineRule="atLeast"/>
        <w:jc w:val="center"/>
        <w:rPr>
          <w:rFonts w:eastAsia="黑体"/>
          <w:b/>
          <w:bCs/>
          <w:sz w:val="24"/>
          <w:szCs w:val="15"/>
        </w:rPr>
      </w:pPr>
    </w:p>
    <w:p w14:paraId="39413AC2">
      <w:pPr>
        <w:spacing w:line="0" w:lineRule="atLeast"/>
        <w:jc w:val="center"/>
        <w:rPr>
          <w:rFonts w:eastAsia="黑体"/>
          <w:b/>
          <w:bCs/>
          <w:sz w:val="24"/>
          <w:szCs w:val="15"/>
        </w:rPr>
      </w:pPr>
      <w:r>
        <w:rPr>
          <w:rFonts w:eastAsia="黑体"/>
          <w:b/>
          <w:bCs/>
          <w:sz w:val="24"/>
          <w:szCs w:val="15"/>
        </w:rPr>
        <w:t>理财产品销售协议书</w:t>
      </w:r>
    </w:p>
    <w:p w14:paraId="47E19E1D">
      <w:pPr>
        <w:spacing w:line="200" w:lineRule="exact"/>
        <w:ind w:firstLine="300" w:firstLineChars="200"/>
        <w:rPr>
          <w:rFonts w:eastAsia="方正细黑一简体"/>
          <w:sz w:val="15"/>
          <w:szCs w:val="15"/>
        </w:rPr>
      </w:pPr>
    </w:p>
    <w:p w14:paraId="6C209217">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14:paraId="42936B2F">
      <w:pPr>
        <w:numPr>
          <w:ilvl w:val="0"/>
          <w:numId w:val="6"/>
        </w:numPr>
        <w:spacing w:line="200" w:lineRule="exact"/>
        <w:ind w:firstLine="340" w:firstLineChars="200"/>
        <w:rPr>
          <w:b/>
          <w:bCs/>
          <w:spacing w:val="10"/>
          <w:sz w:val="15"/>
          <w:szCs w:val="15"/>
        </w:rPr>
      </w:pPr>
      <w:r>
        <w:rPr>
          <w:b/>
          <w:bCs/>
          <w:spacing w:val="10"/>
          <w:sz w:val="15"/>
          <w:szCs w:val="15"/>
        </w:rPr>
        <w:t>名词释义</w:t>
      </w:r>
    </w:p>
    <w:p w14:paraId="607C2C2E">
      <w:pPr>
        <w:pStyle w:val="61"/>
        <w:ind w:firstLine="340"/>
        <w:rPr>
          <w:spacing w:val="10"/>
          <w:sz w:val="15"/>
          <w:szCs w:val="15"/>
        </w:rPr>
      </w:pPr>
      <w:r>
        <w:rPr>
          <w:spacing w:val="10"/>
          <w:sz w:val="15"/>
          <w:szCs w:val="15"/>
        </w:rPr>
        <w:t>本协议项下用词与对应期次的《理财产品说明书》中相关用词含义一致，本协议另有说明的除外。</w:t>
      </w:r>
    </w:p>
    <w:p w14:paraId="25343678">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D42CE94">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55102A68">
      <w:pPr>
        <w:numPr>
          <w:ilvl w:val="0"/>
          <w:numId w:val="6"/>
        </w:numPr>
        <w:spacing w:line="200" w:lineRule="exact"/>
        <w:ind w:firstLine="340" w:firstLineChars="200"/>
        <w:rPr>
          <w:b/>
          <w:bCs/>
          <w:spacing w:val="10"/>
          <w:sz w:val="15"/>
          <w:szCs w:val="15"/>
        </w:rPr>
      </w:pPr>
      <w:r>
        <w:rPr>
          <w:b/>
          <w:bCs/>
          <w:spacing w:val="10"/>
          <w:sz w:val="15"/>
          <w:szCs w:val="15"/>
        </w:rPr>
        <w:t>甲方的权利与义务：</w:t>
      </w:r>
    </w:p>
    <w:p w14:paraId="23F70283">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14:paraId="6B2D4D69">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7CBDF6CB">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092786DC">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76BB2A7D">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09641153">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668F8CC7">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3943CE6A">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4D5B87BA">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39C6560">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3EE93CAB">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5D53588E">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2086DE6A">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2D6816F3">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14:paraId="09F0D5D1">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14:paraId="29F232F2">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14:paraId="14157621">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53797B8D">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7F660DA7">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7D0D9B38">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28782B03">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4C193BC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14:paraId="6E3EBFC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7948AC5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2B97339C">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0728A5EF">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37ADBD3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36B7504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674C1568">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361F69D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31A6FF37">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51A1BFC9">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1A459F73">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2E69A531">
      <w:pPr>
        <w:pStyle w:val="6"/>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463DE324">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76EEF842">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14:paraId="68478BE0">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2138CCA1">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63B5DFE1">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5D8B9A5F">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4770E9E5">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6BEEE7D3">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5191D4E0">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6902223B">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1E767D04">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14:paraId="5080369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14:paraId="1DC75C54">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77363B73">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2C0FB5D9">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14:paraId="70C413CA">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ACF0BAE">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162BEBD0">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14:paraId="49FB0BC2">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14:paraId="463F741D">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14:paraId="21CAA4ED">
      <w:pPr>
        <w:pStyle w:val="6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6A108611">
      <w:pPr>
        <w:pStyle w:val="6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0406D319">
      <w:pPr>
        <w:pStyle w:val="6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14:paraId="56C73EDD">
      <w:pPr>
        <w:pStyle w:val="6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50C2E1AE">
      <w:pPr>
        <w:pStyle w:val="6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6138F87F">
      <w:pPr>
        <w:pStyle w:val="6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59DA0691">
      <w:pPr>
        <w:pStyle w:val="6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14:paraId="3471A236">
      <w:pPr>
        <w:pStyle w:val="6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1F316B25">
      <w:pPr>
        <w:pStyle w:val="61"/>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14:paraId="7148A6DC">
      <w:pPr>
        <w:pStyle w:val="61"/>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59C72E95">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14:paraId="146BB022">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4AB2C5BA">
      <w:pPr>
        <w:pStyle w:val="61"/>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14:paraId="3996007B">
      <w:pPr>
        <w:pStyle w:val="6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6AE83400">
      <w:pPr>
        <w:pStyle w:val="6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14:paraId="44812CD8">
      <w:pPr>
        <w:pStyle w:val="6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14:paraId="54161048">
      <w:pPr>
        <w:pStyle w:val="6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16B5BEA7">
      <w:pPr>
        <w:pStyle w:val="61"/>
        <w:numPr>
          <w:ilvl w:val="0"/>
          <w:numId w:val="11"/>
        </w:numPr>
        <w:spacing w:line="200" w:lineRule="exact"/>
        <w:ind w:firstLineChars="0"/>
        <w:rPr>
          <w:bCs/>
          <w:spacing w:val="10"/>
          <w:sz w:val="15"/>
          <w:szCs w:val="15"/>
        </w:rPr>
      </w:pPr>
      <w:r>
        <w:rPr>
          <w:bCs/>
          <w:spacing w:val="10"/>
          <w:sz w:val="15"/>
          <w:szCs w:val="15"/>
        </w:rPr>
        <w:t>其他管理人认为需要延期的情形；</w:t>
      </w:r>
    </w:p>
    <w:p w14:paraId="3173DEA5">
      <w:pPr>
        <w:pStyle w:val="6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14:paraId="7906D35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6E6A8640">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7E823FEA">
      <w:pPr>
        <w:spacing w:line="200" w:lineRule="exact"/>
        <w:ind w:firstLine="340" w:firstLineChars="200"/>
        <w:rPr>
          <w:b/>
          <w:spacing w:val="10"/>
          <w:sz w:val="15"/>
          <w:szCs w:val="15"/>
        </w:rPr>
      </w:pPr>
      <w:r>
        <w:rPr>
          <w:rFonts w:hint="eastAsia"/>
          <w:b/>
          <w:spacing w:val="10"/>
          <w:sz w:val="15"/>
          <w:szCs w:val="15"/>
        </w:rPr>
        <w:t xml:space="preserve">7.产品资产的清算 </w:t>
      </w:r>
    </w:p>
    <w:p w14:paraId="24CE088A">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4B8E7DCE">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77A6B33B">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14:paraId="69EE0934">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14:paraId="65DB9923">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32B358C6">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94EC6D3">
      <w:pPr>
        <w:numPr>
          <w:ilvl w:val="0"/>
          <w:numId w:val="12"/>
        </w:numPr>
        <w:spacing w:line="200" w:lineRule="exact"/>
        <w:ind w:firstLine="340" w:firstLineChars="200"/>
        <w:rPr>
          <w:b/>
          <w:bCs/>
          <w:spacing w:val="10"/>
          <w:sz w:val="15"/>
          <w:szCs w:val="15"/>
        </w:rPr>
      </w:pPr>
      <w:r>
        <w:rPr>
          <w:b/>
          <w:bCs/>
          <w:spacing w:val="10"/>
          <w:sz w:val="15"/>
          <w:szCs w:val="15"/>
        </w:rPr>
        <w:t>免责条款</w:t>
      </w:r>
    </w:p>
    <w:p w14:paraId="4E641093">
      <w:pPr>
        <w:pStyle w:val="61"/>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06B66171">
      <w:pPr>
        <w:pStyle w:val="61"/>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20CEBE58">
      <w:pPr>
        <w:pStyle w:val="61"/>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554CE194">
      <w:pPr>
        <w:pStyle w:val="61"/>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278E479D">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14:paraId="4731065D">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54EDF06E">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7D4C3459">
      <w:pPr>
        <w:numPr>
          <w:ilvl w:val="0"/>
          <w:numId w:val="12"/>
        </w:numPr>
        <w:spacing w:line="200" w:lineRule="exact"/>
        <w:ind w:firstLine="340" w:firstLineChars="200"/>
        <w:rPr>
          <w:spacing w:val="10"/>
          <w:sz w:val="15"/>
          <w:szCs w:val="15"/>
        </w:rPr>
      </w:pPr>
      <w:r>
        <w:rPr>
          <w:bCs/>
          <w:spacing w:val="10"/>
          <w:sz w:val="15"/>
          <w:szCs w:val="15"/>
        </w:rPr>
        <w:t>抵销</w:t>
      </w:r>
    </w:p>
    <w:p w14:paraId="64EA269C">
      <w:pPr>
        <w:pStyle w:val="61"/>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3B36D3B9">
      <w:pPr>
        <w:pStyle w:val="61"/>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5A4ABA94">
      <w:pPr>
        <w:numPr>
          <w:ilvl w:val="0"/>
          <w:numId w:val="12"/>
        </w:numPr>
        <w:spacing w:line="200" w:lineRule="exact"/>
        <w:ind w:firstLine="340" w:firstLineChars="200"/>
        <w:rPr>
          <w:spacing w:val="10"/>
          <w:sz w:val="15"/>
          <w:szCs w:val="15"/>
        </w:rPr>
      </w:pPr>
      <w:r>
        <w:rPr>
          <w:bCs/>
          <w:spacing w:val="10"/>
          <w:sz w:val="15"/>
          <w:szCs w:val="15"/>
        </w:rPr>
        <w:t>弃权</w:t>
      </w:r>
    </w:p>
    <w:p w14:paraId="12E9D658">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648FADD6">
      <w:pPr>
        <w:numPr>
          <w:ilvl w:val="0"/>
          <w:numId w:val="12"/>
        </w:numPr>
        <w:spacing w:line="200" w:lineRule="exact"/>
        <w:ind w:firstLine="340" w:firstLineChars="200"/>
        <w:rPr>
          <w:spacing w:val="10"/>
          <w:sz w:val="15"/>
          <w:szCs w:val="15"/>
        </w:rPr>
      </w:pPr>
      <w:r>
        <w:rPr>
          <w:spacing w:val="10"/>
          <w:sz w:val="15"/>
          <w:szCs w:val="15"/>
        </w:rPr>
        <w:t>可分割性</w:t>
      </w:r>
    </w:p>
    <w:p w14:paraId="4248C48E">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14:paraId="0EE3C6C7">
      <w:pPr>
        <w:numPr>
          <w:ilvl w:val="0"/>
          <w:numId w:val="12"/>
        </w:numPr>
        <w:spacing w:line="200" w:lineRule="exact"/>
        <w:ind w:firstLine="340" w:firstLineChars="200"/>
        <w:rPr>
          <w:spacing w:val="10"/>
          <w:sz w:val="15"/>
          <w:szCs w:val="15"/>
        </w:rPr>
      </w:pPr>
      <w:r>
        <w:rPr>
          <w:spacing w:val="10"/>
          <w:sz w:val="15"/>
          <w:szCs w:val="15"/>
        </w:rPr>
        <w:t>税收条款</w:t>
      </w:r>
    </w:p>
    <w:p w14:paraId="0E04424A">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14:paraId="12FCEE78">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14:paraId="31801267">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479DBDCE">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14:paraId="531E11B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701CC902">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14:paraId="67E09A63">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14:paraId="2443F65F">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14:paraId="3F04FE33">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14:paraId="004AC467">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52B45051">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6C0D236F">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29068111">
      <w:pPr>
        <w:spacing w:line="200" w:lineRule="exact"/>
        <w:ind w:firstLine="340" w:firstLineChars="200"/>
        <w:rPr>
          <w:spacing w:val="10"/>
          <w:sz w:val="15"/>
          <w:szCs w:val="15"/>
        </w:rPr>
      </w:pPr>
    </w:p>
    <w:p w14:paraId="3312EE74">
      <w:pPr>
        <w:spacing w:line="200" w:lineRule="exact"/>
        <w:ind w:firstLine="340" w:firstLineChars="200"/>
        <w:rPr>
          <w:spacing w:val="10"/>
          <w:sz w:val="15"/>
          <w:szCs w:val="15"/>
        </w:rPr>
      </w:pPr>
    </w:p>
    <w:tbl>
      <w:tblPr>
        <w:tblStyle w:val="15"/>
        <w:tblW w:w="9525" w:type="dxa"/>
        <w:jc w:val="center"/>
        <w:tblLayout w:type="fixed"/>
        <w:tblCellMar>
          <w:top w:w="0" w:type="dxa"/>
          <w:left w:w="108" w:type="dxa"/>
          <w:bottom w:w="0" w:type="dxa"/>
          <w:right w:w="108" w:type="dxa"/>
        </w:tblCellMar>
      </w:tblPr>
      <w:tblGrid>
        <w:gridCol w:w="4812"/>
        <w:gridCol w:w="4713"/>
      </w:tblGrid>
      <w:tr w14:paraId="2D62D1F8">
        <w:tblPrEx>
          <w:tblCellMar>
            <w:top w:w="0" w:type="dxa"/>
            <w:left w:w="108" w:type="dxa"/>
            <w:bottom w:w="0" w:type="dxa"/>
            <w:right w:w="108" w:type="dxa"/>
          </w:tblCellMar>
        </w:tblPrEx>
        <w:trPr>
          <w:jc w:val="center"/>
        </w:trPr>
        <w:tc>
          <w:tcPr>
            <w:tcW w:w="4812" w:type="dxa"/>
          </w:tcPr>
          <w:p w14:paraId="2706CF8C">
            <w:pPr>
              <w:spacing w:line="200" w:lineRule="exact"/>
              <w:rPr>
                <w:spacing w:val="10"/>
                <w:sz w:val="15"/>
                <w:szCs w:val="15"/>
              </w:rPr>
            </w:pPr>
            <w:r>
              <w:rPr>
                <w:spacing w:val="10"/>
                <w:sz w:val="15"/>
                <w:szCs w:val="15"/>
              </w:rPr>
              <w:t>个人投资者（如适用）：</w:t>
            </w:r>
          </w:p>
        </w:tc>
        <w:tc>
          <w:tcPr>
            <w:tcW w:w="4713" w:type="dxa"/>
          </w:tcPr>
          <w:p w14:paraId="0B53E480">
            <w:pPr>
              <w:spacing w:line="200" w:lineRule="exact"/>
              <w:rPr>
                <w:spacing w:val="10"/>
                <w:sz w:val="15"/>
                <w:szCs w:val="15"/>
              </w:rPr>
            </w:pPr>
            <w:r>
              <w:rPr>
                <w:spacing w:val="10"/>
                <w:sz w:val="15"/>
                <w:szCs w:val="15"/>
              </w:rPr>
              <w:t>机构投资者（如适用）：</w:t>
            </w:r>
          </w:p>
        </w:tc>
      </w:tr>
      <w:tr w14:paraId="26C9116A">
        <w:tblPrEx>
          <w:tblCellMar>
            <w:top w:w="0" w:type="dxa"/>
            <w:left w:w="108" w:type="dxa"/>
            <w:bottom w:w="0" w:type="dxa"/>
            <w:right w:w="108" w:type="dxa"/>
          </w:tblCellMar>
        </w:tblPrEx>
        <w:trPr>
          <w:jc w:val="center"/>
        </w:trPr>
        <w:tc>
          <w:tcPr>
            <w:tcW w:w="4812" w:type="dxa"/>
          </w:tcPr>
          <w:p w14:paraId="64E208D0">
            <w:pPr>
              <w:spacing w:line="200" w:lineRule="exact"/>
              <w:ind w:firstLine="340" w:firstLineChars="200"/>
              <w:rPr>
                <w:spacing w:val="10"/>
                <w:sz w:val="15"/>
                <w:szCs w:val="15"/>
              </w:rPr>
            </w:pPr>
          </w:p>
          <w:p w14:paraId="00BB94E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08C76B5B">
            <w:pPr>
              <w:spacing w:line="200" w:lineRule="exact"/>
              <w:ind w:firstLine="680" w:firstLineChars="400"/>
              <w:rPr>
                <w:spacing w:val="10"/>
                <w:sz w:val="15"/>
                <w:szCs w:val="15"/>
              </w:rPr>
            </w:pPr>
          </w:p>
          <w:p w14:paraId="21DB31D1">
            <w:pPr>
              <w:spacing w:line="200" w:lineRule="exact"/>
              <w:ind w:firstLine="850" w:firstLineChars="500"/>
              <w:rPr>
                <w:spacing w:val="10"/>
                <w:sz w:val="15"/>
                <w:szCs w:val="15"/>
              </w:rPr>
            </w:pPr>
          </w:p>
          <w:p w14:paraId="368902E0">
            <w:pPr>
              <w:spacing w:line="200" w:lineRule="exact"/>
              <w:ind w:firstLine="850" w:firstLineChars="500"/>
              <w:rPr>
                <w:spacing w:val="10"/>
                <w:sz w:val="15"/>
                <w:szCs w:val="15"/>
              </w:rPr>
            </w:pPr>
            <w:r>
              <w:rPr>
                <w:spacing w:val="10"/>
                <w:sz w:val="15"/>
                <w:szCs w:val="15"/>
              </w:rPr>
              <w:t>年月日</w:t>
            </w:r>
          </w:p>
        </w:tc>
        <w:tc>
          <w:tcPr>
            <w:tcW w:w="4713" w:type="dxa"/>
          </w:tcPr>
          <w:p w14:paraId="008EA03A">
            <w:pPr>
              <w:spacing w:line="200" w:lineRule="exact"/>
              <w:ind w:firstLine="340" w:firstLineChars="200"/>
              <w:rPr>
                <w:spacing w:val="10"/>
                <w:sz w:val="15"/>
                <w:szCs w:val="15"/>
              </w:rPr>
            </w:pPr>
          </w:p>
          <w:p w14:paraId="7AED8EF2">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55806AFB">
            <w:pPr>
              <w:spacing w:line="200" w:lineRule="exact"/>
              <w:rPr>
                <w:spacing w:val="10"/>
                <w:sz w:val="15"/>
                <w:szCs w:val="15"/>
              </w:rPr>
            </w:pPr>
          </w:p>
          <w:p w14:paraId="62CA4F36">
            <w:pPr>
              <w:spacing w:line="200" w:lineRule="exact"/>
              <w:rPr>
                <w:spacing w:val="10"/>
                <w:sz w:val="15"/>
                <w:szCs w:val="15"/>
              </w:rPr>
            </w:pPr>
          </w:p>
          <w:p w14:paraId="519DBAA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4B436DA2">
            <w:pPr>
              <w:spacing w:line="200" w:lineRule="exact"/>
              <w:ind w:firstLine="680" w:firstLineChars="400"/>
              <w:rPr>
                <w:spacing w:val="10"/>
                <w:sz w:val="15"/>
                <w:szCs w:val="15"/>
              </w:rPr>
            </w:pPr>
          </w:p>
          <w:p w14:paraId="7342EA43">
            <w:pPr>
              <w:spacing w:line="200" w:lineRule="exact"/>
              <w:ind w:firstLine="680" w:firstLineChars="400"/>
              <w:rPr>
                <w:spacing w:val="10"/>
                <w:sz w:val="15"/>
                <w:szCs w:val="15"/>
              </w:rPr>
            </w:pPr>
            <w:r>
              <w:rPr>
                <w:spacing w:val="10"/>
                <w:sz w:val="15"/>
                <w:szCs w:val="15"/>
              </w:rPr>
              <w:t>年月日</w:t>
            </w:r>
          </w:p>
        </w:tc>
      </w:tr>
    </w:tbl>
    <w:p w14:paraId="5717FBAD">
      <w:pPr>
        <w:spacing w:line="200" w:lineRule="exact"/>
        <w:rPr>
          <w:spacing w:val="10"/>
          <w:sz w:val="15"/>
          <w:szCs w:val="15"/>
        </w:rPr>
      </w:pPr>
    </w:p>
    <w:p w14:paraId="456C84B4">
      <w:pPr>
        <w:pStyle w:val="62"/>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14:paraId="69F7064B">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CF3BFC8">
      <w:pPr>
        <w:pStyle w:val="62"/>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56972E0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14:paraId="2A8EDC7F">
      <w:pPr>
        <w:pStyle w:val="62"/>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14:paraId="2588777D">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181D0CA6">
      <w:pPr>
        <w:pStyle w:val="62"/>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14:paraId="3C9DDAD5">
      <w:pPr>
        <w:pStyle w:val="62"/>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14:paraId="259C759C">
      <w:pPr>
        <w:pStyle w:val="62"/>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14:paraId="727BD188">
      <w:pPr>
        <w:pStyle w:val="62"/>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14:paraId="57B99047">
      <w:pPr>
        <w:pStyle w:val="62"/>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14:paraId="5628DA2C">
      <w:pPr>
        <w:pStyle w:val="62"/>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14:paraId="1327A756">
      <w:pPr>
        <w:pStyle w:val="62"/>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0200B126">
      <w:pPr>
        <w:pStyle w:val="62"/>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2080DC0F">
      <w:pPr>
        <w:pStyle w:val="62"/>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14:paraId="32DAD261">
      <w:pPr>
        <w:pStyle w:val="62"/>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049AE263">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1A0D10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60C74F0">
      <w:pPr>
        <w:pStyle w:val="62"/>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42704164">
      <w:pPr>
        <w:pStyle w:val="62"/>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14:paraId="4953EB3F">
      <w:pPr>
        <w:pStyle w:val="62"/>
        <w:spacing w:line="360" w:lineRule="auto"/>
        <w:ind w:firstLine="400"/>
        <w:rPr>
          <w:rFonts w:ascii="宋体" w:hAnsi="宋体" w:cs="宋体"/>
          <w:sz w:val="20"/>
          <w:szCs w:val="21"/>
        </w:rPr>
      </w:pPr>
      <w:r>
        <w:rPr>
          <w:rFonts w:hint="eastAsia" w:ascii="宋体" w:hAnsi="宋体" w:cs="宋体"/>
          <w:sz w:val="20"/>
          <w:szCs w:val="21"/>
        </w:rPr>
        <w:t>（二）乙方的权利与义务</w:t>
      </w:r>
    </w:p>
    <w:p w14:paraId="691AF1D1">
      <w:pPr>
        <w:pStyle w:val="62"/>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14:paraId="175142D5">
      <w:pPr>
        <w:pStyle w:val="62"/>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14:paraId="22F8EDD5">
      <w:pPr>
        <w:pStyle w:val="62"/>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14:paraId="7759D2D5">
      <w:pPr>
        <w:pStyle w:val="62"/>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14:paraId="259BEB2C">
      <w:pPr>
        <w:pStyle w:val="62"/>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14:paraId="1820100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39D00D0">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4FF8C260">
      <w:pPr>
        <w:pStyle w:val="62"/>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14D1B944">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EE438BF">
      <w:pPr>
        <w:pStyle w:val="62"/>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14A7C803">
      <w:pPr>
        <w:pStyle w:val="62"/>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14:paraId="1E54C1B9">
      <w:pPr>
        <w:pStyle w:val="62"/>
        <w:spacing w:line="360" w:lineRule="auto"/>
        <w:ind w:firstLine="402"/>
        <w:rPr>
          <w:rFonts w:ascii="宋体" w:hAnsi="宋体" w:cs="宋体"/>
          <w:b/>
          <w:sz w:val="20"/>
          <w:szCs w:val="21"/>
        </w:rPr>
      </w:pPr>
      <w:r>
        <w:rPr>
          <w:rFonts w:hint="eastAsia" w:ascii="宋体" w:hAnsi="宋体" w:cs="宋体"/>
          <w:b/>
          <w:sz w:val="20"/>
          <w:szCs w:val="21"/>
        </w:rPr>
        <w:t>三、协议的生效和终止</w:t>
      </w:r>
    </w:p>
    <w:p w14:paraId="475FA4B0">
      <w:pPr>
        <w:pStyle w:val="62"/>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7448D71">
      <w:pPr>
        <w:pStyle w:val="62"/>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4D848278">
      <w:pPr>
        <w:pStyle w:val="62"/>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02C93B36">
      <w:pPr>
        <w:pStyle w:val="62"/>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14:paraId="2B9189C4">
      <w:pPr>
        <w:pStyle w:val="62"/>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219BD8CA">
      <w:pPr>
        <w:pStyle w:val="62"/>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14:paraId="14DD3C49">
      <w:pPr>
        <w:pStyle w:val="62"/>
        <w:spacing w:line="360" w:lineRule="auto"/>
        <w:ind w:firstLine="402"/>
        <w:rPr>
          <w:rFonts w:ascii="宋体" w:hAnsi="宋体" w:cs="宋体"/>
          <w:b/>
          <w:bCs/>
          <w:sz w:val="20"/>
          <w:szCs w:val="21"/>
        </w:rPr>
      </w:pPr>
      <w:r>
        <w:rPr>
          <w:rFonts w:hint="eastAsia" w:ascii="宋体" w:hAnsi="宋体" w:cs="宋体"/>
          <w:b/>
          <w:bCs/>
          <w:sz w:val="20"/>
          <w:szCs w:val="21"/>
        </w:rPr>
        <w:t>五、争议解决</w:t>
      </w:r>
    </w:p>
    <w:p w14:paraId="38E6747B">
      <w:pPr>
        <w:pStyle w:val="62"/>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19C26103">
      <w:pPr>
        <w:pStyle w:val="62"/>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2FD29F5E">
      <w:pPr>
        <w:pStyle w:val="62"/>
        <w:spacing w:line="360" w:lineRule="auto"/>
        <w:ind w:firstLine="400"/>
        <w:rPr>
          <w:rFonts w:ascii="宋体" w:hAnsi="宋体" w:cs="宋体"/>
          <w:sz w:val="20"/>
          <w:szCs w:val="21"/>
        </w:rPr>
      </w:pPr>
    </w:p>
    <w:p w14:paraId="39D28676">
      <w:pPr>
        <w:pStyle w:val="62"/>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37C2C868">
      <w:pPr>
        <w:pStyle w:val="62"/>
        <w:spacing w:line="360" w:lineRule="auto"/>
        <w:ind w:firstLine="400"/>
        <w:rPr>
          <w:rFonts w:ascii="宋体" w:hAnsi="宋体" w:cs="宋体"/>
          <w:sz w:val="20"/>
          <w:szCs w:val="21"/>
        </w:rPr>
      </w:pPr>
      <w:r>
        <w:rPr>
          <w:rFonts w:hint="eastAsia" w:ascii="宋体" w:hAnsi="宋体" w:cs="宋体"/>
          <w:sz w:val="20"/>
          <w:szCs w:val="21"/>
        </w:rPr>
        <w:t>（以下无正文）</w:t>
      </w:r>
    </w:p>
    <w:p w14:paraId="5C19699C">
      <w:pPr>
        <w:pStyle w:val="62"/>
        <w:spacing w:line="360" w:lineRule="auto"/>
        <w:ind w:firstLine="400"/>
        <w:rPr>
          <w:rFonts w:ascii="宋体" w:hAnsi="宋体" w:cs="宋体"/>
          <w:sz w:val="20"/>
          <w:szCs w:val="21"/>
        </w:rPr>
      </w:pPr>
    </w:p>
    <w:p w14:paraId="06E30119">
      <w:pPr>
        <w:spacing w:line="360" w:lineRule="auto"/>
        <w:rPr>
          <w:rStyle w:val="63"/>
          <w:rFonts w:hint="default"/>
          <w:sz w:val="20"/>
        </w:rPr>
      </w:pPr>
      <w:r>
        <w:rPr>
          <w:rStyle w:val="63"/>
          <w:rFonts w:hint="default"/>
          <w:sz w:val="20"/>
        </w:rPr>
        <w:t>个人投资者（如适用）：                   机构投资者（如适用）：</w:t>
      </w:r>
    </w:p>
    <w:p w14:paraId="63398275">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3CB322D3">
      <w:pPr>
        <w:spacing w:line="360" w:lineRule="auto"/>
        <w:rPr>
          <w:rStyle w:val="63"/>
          <w:rFonts w:hint="default"/>
          <w:sz w:val="20"/>
        </w:rPr>
      </w:pPr>
      <w:r>
        <w:rPr>
          <w:rStyle w:val="63"/>
          <w:rFonts w:hint="default"/>
          <w:sz w:val="20"/>
        </w:rPr>
        <w:t xml:space="preserve">   年  月  日                           法定代表人或授权代理人：（签名或盖章）</w:t>
      </w:r>
    </w:p>
    <w:p w14:paraId="3DB0C4B5">
      <w:pPr>
        <w:widowControl/>
        <w:jc w:val="left"/>
      </w:pPr>
      <w:r>
        <w:rPr>
          <w:rStyle w:val="63"/>
          <w:rFonts w:hint="default"/>
          <w:sz w:val="20"/>
        </w:rPr>
        <w:t xml:space="preserve">                                            年    月   日</w:t>
      </w:r>
    </w:p>
    <w:p w14:paraId="6D1652A1">
      <w:pPr>
        <w:pStyle w:val="5"/>
        <w:ind w:firstLine="0" w:firstLineChars="0"/>
        <w:rPr>
          <w:b/>
          <w:kern w:val="0"/>
          <w:sz w:val="15"/>
          <w:szCs w:val="11"/>
        </w:rPr>
      </w:pPr>
    </w:p>
    <w:p w14:paraId="46D33DA7">
      <w:pPr>
        <w:rPr>
          <w:rFonts w:hint="eastAsia"/>
        </w:rPr>
      </w:pPr>
    </w:p>
    <w:p w14:paraId="7D7089ED">
      <w:pPr>
        <w:rPr>
          <w:rFonts w:hint="eastAsia" w:ascii="方正黑体_GBK" w:hAnsi="方正黑体_GBK" w:eastAsia="方正黑体_GBK"/>
          <w:b/>
          <w:bCs/>
          <w:color w:val="3D3D3D"/>
          <w:kern w:val="0"/>
          <w:sz w:val="15"/>
          <w:szCs w:val="15"/>
          <w:lang w:val="en-US" w:eastAsia="zh-CN"/>
        </w:rPr>
      </w:pPr>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Microsoft YaHei UI"/>
    <w:panose1 w:val="00000000000000000000"/>
    <w:charset w:val="86"/>
    <w:family w:val="auto"/>
    <w:pitch w:val="default"/>
    <w:sig w:usb0="00000000" w:usb1="00000000" w:usb2="00000000" w:usb3="00000000" w:csb0="0004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03B1">
    <w:pPr>
      <w:pStyle w:val="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C3A0">
    <w:pPr>
      <w:pStyle w:val="10"/>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A7F4">
    <w:pPr>
      <w:pStyle w:val="10"/>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lvl>
  </w:abstractNum>
  <w:abstractNum w:abstractNumId="11">
    <w:nsid w:val="5DF84CBD"/>
    <w:multiLevelType w:val="singleLevel"/>
    <w:tmpl w:val="5DF84CBD"/>
    <w:lvl w:ilvl="0" w:tentative="0">
      <w:start w:val="1"/>
      <w:numFmt w:val="decimal"/>
      <w:suff w:val="nothing"/>
      <w:lvlText w:val="（%1）"/>
      <w:lvlJc w:val="left"/>
    </w:lvl>
  </w:abstractNum>
  <w:abstractNum w:abstractNumId="12">
    <w:nsid w:val="5DF84D07"/>
    <w:multiLevelType w:val="singleLevel"/>
    <w:tmpl w:val="5DF84D07"/>
    <w:lvl w:ilvl="0" w:tentative="0">
      <w:start w:val="1"/>
      <w:numFmt w:val="decimal"/>
      <w:suff w:val="nothing"/>
      <w:lvlText w:val="（%1）"/>
      <w:lvlJc w:val="left"/>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53537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uiPriority w:val="0"/>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rPr>
      <w:rFonts w:ascii="Times New Roman" w:hAnsi="Times New Roman" w:eastAsia="宋体"/>
      <w:sz w:val="18"/>
      <w:szCs w:val="18"/>
    </w:rPr>
  </w:style>
  <w:style w:type="paragraph" w:styleId="6">
    <w:name w:val="annotation text"/>
    <w:basedOn w:val="1"/>
    <w:uiPriority w:val="0"/>
    <w:pPr>
      <w:jc w:val="left"/>
    </w:pPr>
    <w:rPr>
      <w:rFonts w:ascii="Times New Roman" w:hAnsi="Times New Roman" w:eastAsia="宋体"/>
      <w:sz w:val="18"/>
      <w:szCs w:val="18"/>
    </w:rPr>
  </w:style>
  <w:style w:type="paragraph" w:styleId="7">
    <w:name w:val="toc 5"/>
    <w:basedOn w:val="1"/>
    <w:next w:val="1"/>
    <w:autoRedefine/>
    <w:uiPriority w:val="0"/>
    <w:pPr>
      <w:ind w:left="1680"/>
    </w:pPr>
  </w:style>
  <w:style w:type="paragraph" w:styleId="8">
    <w:name w:val="toc 3"/>
    <w:basedOn w:val="1"/>
    <w:next w:val="1"/>
    <w:autoRedefine/>
    <w:uiPriority w:val="0"/>
    <w:pPr>
      <w:ind w:left="840"/>
    </w:pPr>
  </w:style>
  <w:style w:type="paragraph" w:styleId="9">
    <w:name w:val="footer"/>
    <w:basedOn w:val="1"/>
    <w:qFormat/>
    <w:uiPriority w:val="0"/>
    <w:pPr>
      <w:tabs>
        <w:tab w:val="center" w:pos="4153"/>
        <w:tab w:val="right" w:pos="8307"/>
      </w:tabs>
      <w:adjustRightInd/>
      <w:snapToGrid w:val="0"/>
      <w:contextualSpacing w:val="0"/>
      <w:jc w:val="left"/>
    </w:pPr>
    <w:rPr>
      <w:sz w:val="18"/>
    </w:rPr>
  </w:style>
  <w:style w:type="paragraph" w:styleId="10">
    <w:name w:val="header"/>
    <w:basedOn w:val="1"/>
    <w:uiPriority w:val="0"/>
    <w:pPr>
      <w:pBdr>
        <w:bottom w:val="single" w:color="auto" w:sz="6" w:space="1"/>
      </w:pBdr>
      <w:tabs>
        <w:tab w:val="center" w:pos="4153"/>
        <w:tab w:val="right" w:pos="8307"/>
      </w:tabs>
      <w:adjustRightInd/>
      <w:snapToGrid w:val="0"/>
      <w:contextualSpacing w:val="0"/>
      <w:jc w:val="center"/>
    </w:pPr>
    <w:rPr>
      <w:sz w:val="18"/>
    </w:rPr>
  </w:style>
  <w:style w:type="paragraph" w:styleId="11">
    <w:name w:val="toc 1"/>
    <w:basedOn w:val="1"/>
    <w:next w:val="1"/>
    <w:autoRedefine/>
    <w:qFormat/>
    <w:uiPriority w:val="0"/>
  </w:style>
  <w:style w:type="paragraph" w:styleId="12">
    <w:name w:val="toc 4"/>
    <w:basedOn w:val="1"/>
    <w:next w:val="1"/>
    <w:autoRedefine/>
    <w:qFormat/>
    <w:uiPriority w:val="0"/>
    <w:pPr>
      <w:ind w:left="1260"/>
    </w:pPr>
  </w:style>
  <w:style w:type="paragraph" w:styleId="13">
    <w:name w:val="toc 2"/>
    <w:basedOn w:val="1"/>
    <w:next w:val="1"/>
    <w:autoRedefine/>
    <w:qFormat/>
    <w:uiPriority w:val="0"/>
    <w:pPr>
      <w:ind w:left="420"/>
    </w:pPr>
  </w:style>
  <w:style w:type="paragraph" w:styleId="14">
    <w:name w:val="Normal (Web)"/>
    <w:next w:val="11"/>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7">
    <w:name w:val="Strong"/>
    <w:uiPriority w:val="0"/>
    <w:rPr>
      <w:b/>
    </w:rPr>
  </w:style>
  <w:style w:type="paragraph" w:customStyle="1" w:styleId="18">
    <w:name w:val="Normale344b4a6"/>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fe4fe472"/>
    <w:basedOn w:val="18"/>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8e8e560e"/>
    <w:basedOn w:val="18"/>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596ce6f2"/>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dcac3a7b"/>
    <w:uiPriority w:val="0"/>
  </w:style>
  <w:style w:type="paragraph" w:customStyle="1" w:styleId="23">
    <w:name w:val="toc 1ad9516d2"/>
    <w:basedOn w:val="18"/>
    <w:next w:val="1"/>
    <w:autoRedefine/>
    <w:qFormat/>
    <w:uiPriority w:val="0"/>
  </w:style>
  <w:style w:type="paragraph" w:customStyle="1" w:styleId="24">
    <w:name w:val="toc 25b480d9d"/>
    <w:basedOn w:val="18"/>
    <w:next w:val="1"/>
    <w:autoRedefine/>
    <w:qFormat/>
    <w:uiPriority w:val="0"/>
    <w:pPr>
      <w:ind w:left="420"/>
    </w:pPr>
  </w:style>
  <w:style w:type="paragraph" w:customStyle="1" w:styleId="25">
    <w:name w:val="toc 3802267fe"/>
    <w:basedOn w:val="18"/>
    <w:next w:val="1"/>
    <w:autoRedefine/>
    <w:qFormat/>
    <w:uiPriority w:val="0"/>
    <w:pPr>
      <w:ind w:left="840"/>
    </w:pPr>
  </w:style>
  <w:style w:type="paragraph" w:customStyle="1" w:styleId="26">
    <w:name w:val="toc 4ee1ae5fc"/>
    <w:basedOn w:val="18"/>
    <w:next w:val="1"/>
    <w:autoRedefine/>
    <w:qFormat/>
    <w:uiPriority w:val="0"/>
    <w:pPr>
      <w:ind w:left="1260"/>
    </w:pPr>
  </w:style>
  <w:style w:type="paragraph" w:customStyle="1" w:styleId="27">
    <w:name w:val="toc 52b4dc156"/>
    <w:basedOn w:val="18"/>
    <w:next w:val="1"/>
    <w:autoRedefine/>
    <w:qFormat/>
    <w:uiPriority w:val="0"/>
    <w:pPr>
      <w:ind w:left="1680"/>
    </w:pPr>
  </w:style>
  <w:style w:type="paragraph" w:customStyle="1" w:styleId="28">
    <w:name w:val="headerff5109a9"/>
    <w:basedOn w:val="18"/>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b634ab6c"/>
    <w:basedOn w:val="18"/>
    <w:qFormat/>
    <w:uiPriority w:val="0"/>
    <w:pPr>
      <w:tabs>
        <w:tab w:val="center" w:pos="4153"/>
        <w:tab w:val="right" w:pos="8307"/>
      </w:tabs>
      <w:adjustRightInd/>
      <w:snapToGrid w:val="0"/>
      <w:contextualSpacing w:val="0"/>
      <w:jc w:val="left"/>
    </w:pPr>
    <w:rPr>
      <w:sz w:val="18"/>
    </w:rPr>
  </w:style>
  <w:style w:type="character" w:customStyle="1" w:styleId="30">
    <w:name w:val="Strong9bd39013"/>
    <w:uiPriority w:val="0"/>
    <w:rPr>
      <w:b/>
    </w:rPr>
  </w:style>
  <w:style w:type="paragraph" w:customStyle="1" w:styleId="31">
    <w:name w:val="annotation text23"/>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d8a4c63b"/>
    <w:next w:val="1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e24f7796"/>
    <w:basedOn w:val="32"/>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0e5ca402"/>
    <w:basedOn w:val="32"/>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df5412e8"/>
    <w:basedOn w:val="32"/>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dd41bc68"/>
    <w:uiPriority w:val="0"/>
  </w:style>
  <w:style w:type="paragraph" w:customStyle="1" w:styleId="37">
    <w:name w:val="Normal Indent4d3eb748"/>
    <w:basedOn w:val="32"/>
    <w:uiPriority w:val="0"/>
    <w:pPr>
      <w:ind w:firstLine="200" w:firstLineChars="200"/>
    </w:pPr>
  </w:style>
  <w:style w:type="paragraph" w:customStyle="1" w:styleId="38">
    <w:name w:val="toc 5c27f895f"/>
    <w:basedOn w:val="32"/>
    <w:next w:val="1"/>
    <w:qFormat/>
    <w:uiPriority w:val="0"/>
    <w:pPr>
      <w:ind w:left="1680"/>
    </w:pPr>
  </w:style>
  <w:style w:type="paragraph" w:customStyle="1" w:styleId="39">
    <w:name w:val="toc 369095f73"/>
    <w:basedOn w:val="32"/>
    <w:next w:val="1"/>
    <w:uiPriority w:val="0"/>
    <w:pPr>
      <w:ind w:left="840"/>
    </w:pPr>
  </w:style>
  <w:style w:type="paragraph" w:customStyle="1" w:styleId="40">
    <w:name w:val="footer5b92b5ba"/>
    <w:basedOn w:val="32"/>
    <w:qFormat/>
    <w:uiPriority w:val="0"/>
    <w:pPr>
      <w:tabs>
        <w:tab w:val="center" w:pos="4153"/>
        <w:tab w:val="right" w:pos="8307"/>
      </w:tabs>
      <w:adjustRightInd/>
      <w:snapToGrid w:val="0"/>
      <w:contextualSpacing w:val="0"/>
      <w:jc w:val="left"/>
    </w:pPr>
    <w:rPr>
      <w:sz w:val="18"/>
    </w:rPr>
  </w:style>
  <w:style w:type="paragraph" w:customStyle="1" w:styleId="41">
    <w:name w:val="header040e074a"/>
    <w:basedOn w:val="32"/>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7e179b11"/>
    <w:basedOn w:val="32"/>
    <w:next w:val="1"/>
    <w:uiPriority w:val="0"/>
  </w:style>
  <w:style w:type="paragraph" w:customStyle="1" w:styleId="43">
    <w:name w:val="toc 470aa0565"/>
    <w:basedOn w:val="32"/>
    <w:next w:val="1"/>
    <w:uiPriority w:val="0"/>
    <w:pPr>
      <w:ind w:left="1260"/>
    </w:pPr>
  </w:style>
  <w:style w:type="paragraph" w:customStyle="1" w:styleId="44">
    <w:name w:val="toc 294c00ca2"/>
    <w:basedOn w:val="32"/>
    <w:next w:val="1"/>
    <w:qFormat/>
    <w:uiPriority w:val="0"/>
    <w:pPr>
      <w:ind w:left="420"/>
    </w:pPr>
  </w:style>
  <w:style w:type="paragraph" w:customStyle="1" w:styleId="45">
    <w:name w:val="Normal (Web)ed2302b2"/>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336c4bcc336c4bcc"/>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722ca7f5722ca7f5"/>
    <w:basedOn w:val="47"/>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24e8d68524e8d685"/>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8365de7c8365de7c"/>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a36fb3a0a36fb3a0"/>
    <w:qFormat/>
    <w:uiPriority w:val="0"/>
  </w:style>
  <w:style w:type="paragraph" w:customStyle="1" w:styleId="52">
    <w:name w:val="引文目录10536796105367961"/>
    <w:basedOn w:val="47"/>
    <w:next w:val="1"/>
    <w:qFormat/>
    <w:uiPriority w:val="0"/>
    <w:pPr>
      <w:ind w:left="200" w:leftChars="200"/>
    </w:pPr>
  </w:style>
  <w:style w:type="paragraph" w:customStyle="1" w:styleId="53">
    <w:name w:val="toc 53c1eb7263c1eb726"/>
    <w:basedOn w:val="47"/>
    <w:next w:val="1"/>
    <w:qFormat/>
    <w:uiPriority w:val="0"/>
    <w:pPr>
      <w:ind w:left="1680"/>
    </w:pPr>
  </w:style>
  <w:style w:type="paragraph" w:customStyle="1" w:styleId="54">
    <w:name w:val="toc 3deb0a0a8deb0a0a8"/>
    <w:basedOn w:val="47"/>
    <w:next w:val="1"/>
    <w:qFormat/>
    <w:uiPriority w:val="0"/>
    <w:pPr>
      <w:ind w:left="840"/>
    </w:pPr>
  </w:style>
  <w:style w:type="paragraph" w:customStyle="1" w:styleId="55">
    <w:name w:val="footerd42b859cd42b859c"/>
    <w:basedOn w:val="47"/>
    <w:qFormat/>
    <w:uiPriority w:val="0"/>
    <w:pPr>
      <w:tabs>
        <w:tab w:val="center" w:pos="4153"/>
        <w:tab w:val="right" w:pos="8307"/>
      </w:tabs>
      <w:adjustRightInd/>
      <w:snapToGrid w:val="0"/>
      <w:contextualSpacing w:val="0"/>
      <w:jc w:val="left"/>
    </w:pPr>
    <w:rPr>
      <w:sz w:val="18"/>
    </w:rPr>
  </w:style>
  <w:style w:type="paragraph" w:customStyle="1" w:styleId="56">
    <w:name w:val="header503732ac503732ac"/>
    <w:basedOn w:val="47"/>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fb1f37c3fb1f37c3"/>
    <w:basedOn w:val="47"/>
    <w:next w:val="1"/>
    <w:qFormat/>
    <w:uiPriority w:val="0"/>
  </w:style>
  <w:style w:type="paragraph" w:customStyle="1" w:styleId="58">
    <w:name w:val="toc 4a05c8a78a05c8a78"/>
    <w:basedOn w:val="47"/>
    <w:next w:val="1"/>
    <w:qFormat/>
    <w:uiPriority w:val="0"/>
    <w:pPr>
      <w:ind w:left="1260"/>
    </w:pPr>
  </w:style>
  <w:style w:type="paragraph" w:customStyle="1" w:styleId="59">
    <w:name w:val="toc 2f3818672f3818672"/>
    <w:basedOn w:val="47"/>
    <w:next w:val="1"/>
    <w:qFormat/>
    <w:uiPriority w:val="0"/>
    <w:pPr>
      <w:ind w:left="420"/>
    </w:pPr>
  </w:style>
  <w:style w:type="paragraph" w:customStyle="1" w:styleId="60">
    <w:name w:val="列出段落12d2e2cd82d2e2cd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basedOn w:val="1"/>
    <w:qFormat/>
    <w:uiPriority w:val="99"/>
    <w:pPr>
      <w:ind w:firstLine="420" w:firstLineChars="200"/>
    </w:pPr>
    <w:rPr>
      <w:rFonts w:ascii="Times New Roman" w:hAnsi="Times New Roman" w:eastAsia="宋体"/>
      <w:sz w:val="18"/>
      <w:szCs w:val="18"/>
    </w:rPr>
  </w:style>
  <w:style w:type="paragraph" w:customStyle="1" w:styleId="62">
    <w:name w:val="列表段落1"/>
    <w:basedOn w:val="1"/>
    <w:qFormat/>
    <w:uiPriority w:val="34"/>
    <w:pPr>
      <w:ind w:firstLine="420" w:firstLineChars="200"/>
    </w:pPr>
    <w:rPr>
      <w:rFonts w:ascii="Times New Roman" w:hAnsi="Times New Roman" w:eastAsia="宋体"/>
      <w:sz w:val="18"/>
      <w:szCs w:val="18"/>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22786</Words>
  <Characters>23367</Characters>
  <Lines>77</Lines>
  <Paragraphs>27</Paragraphs>
  <TotalTime>0</TotalTime>
  <ScaleCrop>false</ScaleCrop>
  <LinksUpToDate>false</LinksUpToDate>
  <CharactersWithSpaces>23532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2025-01-03T02:27:40Z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02AEF6DED8204361AEB85E71A6BDE641</vt:lpwstr>
  </property>
  <property fmtid="{D5CDD505-2E9C-101B-9397-08002B2CF9AE}" pid="4" name="KSOTemplateDocerSaveRecord">
    <vt:lpwstr>eyJoZGlkIjoiOTBkY2U3MjllYWUxNjVjYzQyMmI2ZjJjMjFkOWNlN2QiLCJ1c2VySWQiOiIyMzg3MTc3OTEifQ==</vt:lpwstr>
  </property>
  <property fmtid="{D5CDD505-2E9C-101B-9397-08002B2CF9AE}" pid="5" name="_KSOProductBuildMID">
    <vt:lpwstr>CVWM86BU7R9A05HG9ZRNQLJF7NNMOAVR9X0XUJDWXGHRTECT6DBJIC0HFY5HPC6RAXMXNOL0ZIAD8HEJQJFA0FF78RZMWH5B8NOOQHB316C51DB33E3BDFDFD4783DEDFE6ABB58</vt:lpwstr>
  </property>
  <property fmtid="{D5CDD505-2E9C-101B-9397-08002B2CF9AE}" pid="6" name="_KSOProductBuildSID">
    <vt:lpwstr>979C7CD0348C47BF80629D7905C9E177</vt:lpwstr>
  </property>
</Properties>
</file>