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37A6" w:rsidRPr="00D56FBD" w:rsidRDefault="008B15DB">
      <w:pPr>
        <w:jc w:val="center"/>
        <w:rPr>
          <w:b/>
          <w:sz w:val="36"/>
          <w:szCs w:val="28"/>
        </w:rPr>
      </w:pPr>
      <w:r w:rsidRPr="00D56FBD">
        <w:rPr>
          <w:rFonts w:hint="eastAsia"/>
          <w:b/>
          <w:sz w:val="36"/>
          <w:szCs w:val="28"/>
        </w:rPr>
        <w:t>2017</w:t>
      </w:r>
      <w:r w:rsidRPr="00D56FBD">
        <w:rPr>
          <w:rFonts w:hint="eastAsia"/>
          <w:b/>
          <w:sz w:val="36"/>
          <w:szCs w:val="28"/>
        </w:rPr>
        <w:t>年南京银行投资者宣教一般问答</w:t>
      </w:r>
    </w:p>
    <w:p w:rsidR="00772917" w:rsidRDefault="00772917" w:rsidP="00B25AA8">
      <w:pPr>
        <w:pStyle w:val="a5"/>
        <w:ind w:firstLine="560"/>
        <w:rPr>
          <w:rFonts w:asciiTheme="minorEastAsia" w:hAnsiTheme="minorEastAsia" w:hint="eastAsia"/>
          <w:sz w:val="28"/>
          <w:szCs w:val="28"/>
        </w:rPr>
      </w:pPr>
    </w:p>
    <w:p w:rsidR="00A82A42" w:rsidRPr="00D56FBD" w:rsidRDefault="00A82A42" w:rsidP="00A82A42">
      <w:pPr>
        <w:pStyle w:val="1"/>
        <w:numPr>
          <w:ilvl w:val="0"/>
          <w:numId w:val="1"/>
        </w:numPr>
        <w:ind w:firstLineChars="0"/>
        <w:rPr>
          <w:rFonts w:asciiTheme="minorEastAsia" w:hAnsiTheme="minorEastAsia"/>
          <w:b/>
          <w:sz w:val="32"/>
          <w:szCs w:val="28"/>
        </w:rPr>
      </w:pPr>
      <w:proofErr w:type="gramStart"/>
      <w:r w:rsidRPr="00D56FBD">
        <w:rPr>
          <w:rFonts w:asciiTheme="minorEastAsia" w:hAnsiTheme="minorEastAsia" w:hint="eastAsia"/>
          <w:b/>
          <w:sz w:val="32"/>
          <w:szCs w:val="28"/>
        </w:rPr>
        <w:t>董监高持股</w:t>
      </w:r>
      <w:proofErr w:type="gramEnd"/>
      <w:r w:rsidRPr="00D56FBD">
        <w:rPr>
          <w:rFonts w:asciiTheme="minorEastAsia" w:hAnsiTheme="minorEastAsia" w:hint="eastAsia"/>
          <w:b/>
          <w:sz w:val="32"/>
          <w:szCs w:val="28"/>
        </w:rPr>
        <w:t>规定及交易要求的主要内容是什么？</w:t>
      </w:r>
    </w:p>
    <w:p w:rsidR="00A82A42" w:rsidRPr="00D56FBD" w:rsidRDefault="00A82A42" w:rsidP="00A82A42">
      <w:pPr>
        <w:pStyle w:val="1"/>
        <w:ind w:firstLine="640"/>
        <w:rPr>
          <w:rFonts w:asciiTheme="minorEastAsia" w:hAnsiTheme="minorEastAsia" w:cs="宋体]擦..杝."/>
          <w:color w:val="000000"/>
          <w:kern w:val="0"/>
          <w:sz w:val="32"/>
          <w:szCs w:val="28"/>
        </w:rPr>
      </w:pPr>
      <w:r w:rsidRPr="00D56FBD">
        <w:rPr>
          <w:rFonts w:asciiTheme="minorEastAsia" w:hAnsiTheme="minorEastAsia" w:cs="宋体]擦..杝."/>
          <w:color w:val="000000"/>
          <w:kern w:val="0"/>
          <w:sz w:val="32"/>
          <w:szCs w:val="28"/>
        </w:rPr>
        <w:t>上海证券交易所</w:t>
      </w:r>
      <w:r w:rsidRPr="00D56FBD">
        <w:rPr>
          <w:rFonts w:asciiTheme="minorEastAsia" w:hAnsiTheme="minorEastAsia" w:cs="宋体]擦..杝." w:hint="eastAsia"/>
          <w:color w:val="000000"/>
          <w:kern w:val="0"/>
          <w:sz w:val="32"/>
          <w:szCs w:val="28"/>
        </w:rPr>
        <w:t>《</w:t>
      </w:r>
      <w:r w:rsidRPr="00D56FBD">
        <w:rPr>
          <w:rFonts w:asciiTheme="minorEastAsia" w:hAnsiTheme="minorEastAsia" w:cs="宋体]擦..杝."/>
          <w:color w:val="000000"/>
          <w:kern w:val="0"/>
          <w:sz w:val="32"/>
          <w:szCs w:val="28"/>
        </w:rPr>
        <w:t>上市公司董事、监事和高级管理人员所持本公司股份管理业务指引</w:t>
      </w:r>
      <w:r w:rsidRPr="00D56FBD">
        <w:rPr>
          <w:rFonts w:asciiTheme="minorEastAsia" w:hAnsiTheme="minorEastAsia" w:cs="宋体]擦..杝." w:hint="eastAsia"/>
          <w:color w:val="000000"/>
          <w:kern w:val="0"/>
          <w:sz w:val="32"/>
          <w:szCs w:val="28"/>
        </w:rPr>
        <w:t>》</w:t>
      </w:r>
      <w:r w:rsidRPr="00D56FBD">
        <w:rPr>
          <w:rFonts w:asciiTheme="minorEastAsia" w:hAnsiTheme="minorEastAsia" w:cs="宋体]擦..杝."/>
          <w:color w:val="000000"/>
          <w:kern w:val="0"/>
          <w:sz w:val="32"/>
          <w:szCs w:val="28"/>
        </w:rPr>
        <w:t>相关规定如下</w:t>
      </w:r>
      <w:r w:rsidRPr="00D56FBD">
        <w:rPr>
          <w:rFonts w:asciiTheme="minorEastAsia" w:hAnsiTheme="minorEastAsia" w:cs="宋体]擦..杝." w:hint="eastAsia"/>
          <w:color w:val="000000"/>
          <w:kern w:val="0"/>
          <w:sz w:val="32"/>
          <w:szCs w:val="28"/>
        </w:rPr>
        <w:t>：</w:t>
      </w:r>
    </w:p>
    <w:p w:rsidR="00A82A42" w:rsidRPr="00D56FBD" w:rsidRDefault="00A82A42" w:rsidP="00A82A42">
      <w:pPr>
        <w:pStyle w:val="1"/>
        <w:ind w:firstLine="640"/>
        <w:rPr>
          <w:rFonts w:asciiTheme="minorEastAsia" w:hAnsiTheme="minorEastAsia" w:cs="宋体]擦..杝."/>
          <w:color w:val="000000"/>
          <w:kern w:val="0"/>
          <w:sz w:val="32"/>
          <w:szCs w:val="28"/>
        </w:rPr>
      </w:pPr>
      <w:r w:rsidRPr="00D56FBD">
        <w:rPr>
          <w:rFonts w:asciiTheme="minorEastAsia" w:hAnsiTheme="minorEastAsia" w:cs="宋体]擦..杝."/>
          <w:color w:val="000000"/>
          <w:kern w:val="0"/>
          <w:sz w:val="32"/>
          <w:szCs w:val="28"/>
        </w:rPr>
        <w:t>第五条 上市公司董事、监事、高级管理人员在委托上市公司申报个人信息后，本所根据其申报数据资料，对其证券账户中已登记的本公司股份予以全部或部分锁定。</w:t>
      </w:r>
    </w:p>
    <w:p w:rsidR="00A82A42" w:rsidRPr="00D56FBD" w:rsidRDefault="00A82A42" w:rsidP="00A82A42">
      <w:pPr>
        <w:pStyle w:val="1"/>
        <w:ind w:firstLine="640"/>
        <w:rPr>
          <w:rFonts w:asciiTheme="minorEastAsia" w:hAnsiTheme="minorEastAsia" w:cs="宋体]擦..杝."/>
          <w:color w:val="000000"/>
          <w:kern w:val="0"/>
          <w:sz w:val="32"/>
          <w:szCs w:val="28"/>
        </w:rPr>
      </w:pPr>
      <w:r w:rsidRPr="00D56FBD">
        <w:rPr>
          <w:rFonts w:asciiTheme="minorEastAsia" w:hAnsiTheme="minorEastAsia" w:cs="宋体]擦..杝."/>
          <w:color w:val="000000"/>
          <w:kern w:val="0"/>
          <w:sz w:val="32"/>
          <w:szCs w:val="28"/>
        </w:rPr>
        <w:t>第六条 每年的第一个交易日，</w:t>
      </w:r>
      <w:proofErr w:type="gramStart"/>
      <w:r w:rsidRPr="00D56FBD">
        <w:rPr>
          <w:rFonts w:asciiTheme="minorEastAsia" w:hAnsiTheme="minorEastAsia" w:cs="宋体]擦..杝."/>
          <w:color w:val="000000"/>
          <w:kern w:val="0"/>
          <w:sz w:val="32"/>
          <w:szCs w:val="28"/>
        </w:rPr>
        <w:t>本所以</w:t>
      </w:r>
      <w:proofErr w:type="gramEnd"/>
      <w:r w:rsidRPr="00D56FBD">
        <w:rPr>
          <w:rFonts w:asciiTheme="minorEastAsia" w:hAnsiTheme="minorEastAsia" w:cs="宋体]擦..杝."/>
          <w:color w:val="000000"/>
          <w:kern w:val="0"/>
          <w:sz w:val="32"/>
          <w:szCs w:val="28"/>
        </w:rPr>
        <w:t>董事、监事和高级管理人员在上年最后一个交易日登记在其名下的在本所上市的A股为基数，按25％计算其可解锁额度；同时，对该人员所持的在可解锁额度内的无限</w:t>
      </w:r>
      <w:proofErr w:type="gramStart"/>
      <w:r w:rsidRPr="00D56FBD">
        <w:rPr>
          <w:rFonts w:asciiTheme="minorEastAsia" w:hAnsiTheme="minorEastAsia" w:cs="宋体]擦..杝."/>
          <w:color w:val="000000"/>
          <w:kern w:val="0"/>
          <w:sz w:val="32"/>
          <w:szCs w:val="28"/>
        </w:rPr>
        <w:t>售条件</w:t>
      </w:r>
      <w:proofErr w:type="gramEnd"/>
      <w:r w:rsidRPr="00D56FBD">
        <w:rPr>
          <w:rFonts w:asciiTheme="minorEastAsia" w:hAnsiTheme="minorEastAsia" w:cs="宋体]擦..杝."/>
          <w:color w:val="000000"/>
          <w:kern w:val="0"/>
          <w:sz w:val="32"/>
          <w:szCs w:val="28"/>
        </w:rPr>
        <w:t>的流通股进行解锁。</w:t>
      </w:r>
    </w:p>
    <w:p w:rsidR="00A82A42" w:rsidRPr="00D56FBD" w:rsidRDefault="00A82A42" w:rsidP="00A82A42">
      <w:pPr>
        <w:pStyle w:val="1"/>
        <w:ind w:firstLine="640"/>
        <w:rPr>
          <w:rFonts w:asciiTheme="minorEastAsia" w:hAnsiTheme="minorEastAsia" w:cs="宋体]擦..杝."/>
          <w:color w:val="000000"/>
          <w:kern w:val="0"/>
          <w:sz w:val="32"/>
          <w:szCs w:val="28"/>
        </w:rPr>
      </w:pPr>
      <w:r w:rsidRPr="00D56FBD">
        <w:rPr>
          <w:rFonts w:asciiTheme="minorEastAsia" w:hAnsiTheme="minorEastAsia" w:cs="宋体]擦..杝."/>
          <w:color w:val="000000"/>
          <w:kern w:val="0"/>
          <w:sz w:val="32"/>
          <w:szCs w:val="28"/>
        </w:rPr>
        <w:t>第七条 对存在涉嫌违规交易行为的董事、监事和高级管理人员，本所可根据中国证监会等监管机构的要求对其持有及新增的本公司股份予以锁定。</w:t>
      </w:r>
    </w:p>
    <w:p w:rsidR="00A82A42" w:rsidRPr="00D56FBD" w:rsidRDefault="00A82A42" w:rsidP="00A82A42">
      <w:pPr>
        <w:pStyle w:val="1"/>
        <w:ind w:firstLine="640"/>
        <w:rPr>
          <w:rFonts w:asciiTheme="minorEastAsia" w:hAnsiTheme="minorEastAsia" w:cs="宋体]擦..杝."/>
          <w:color w:val="000000"/>
          <w:kern w:val="0"/>
          <w:sz w:val="32"/>
          <w:szCs w:val="28"/>
        </w:rPr>
      </w:pPr>
      <w:r w:rsidRPr="00D56FBD">
        <w:rPr>
          <w:rFonts w:asciiTheme="minorEastAsia" w:hAnsiTheme="minorEastAsia" w:cs="宋体]擦..杝."/>
          <w:color w:val="000000"/>
          <w:kern w:val="0"/>
          <w:sz w:val="32"/>
          <w:szCs w:val="28"/>
        </w:rPr>
        <w:t>第八条 上市公司董事、监事和高级管理人员离任并委托上市公司申报个人信息后，本所自其离职日起六个月内将其持有及新增的本公司股份予以全部锁定，期满后将其所持本公司无限</w:t>
      </w:r>
      <w:proofErr w:type="gramStart"/>
      <w:r w:rsidRPr="00D56FBD">
        <w:rPr>
          <w:rFonts w:asciiTheme="minorEastAsia" w:hAnsiTheme="minorEastAsia" w:cs="宋体]擦..杝."/>
          <w:color w:val="000000"/>
          <w:kern w:val="0"/>
          <w:sz w:val="32"/>
          <w:szCs w:val="28"/>
        </w:rPr>
        <w:t>售条件</w:t>
      </w:r>
      <w:proofErr w:type="gramEnd"/>
      <w:r w:rsidRPr="00D56FBD">
        <w:rPr>
          <w:rFonts w:asciiTheme="minorEastAsia" w:hAnsiTheme="minorEastAsia" w:cs="宋体]擦..杝."/>
          <w:color w:val="000000"/>
          <w:kern w:val="0"/>
          <w:sz w:val="32"/>
          <w:szCs w:val="28"/>
        </w:rPr>
        <w:t>股份予以全部自动解锁。</w:t>
      </w:r>
    </w:p>
    <w:p w:rsidR="00A82A42" w:rsidRPr="00D56FBD" w:rsidRDefault="00A82A42" w:rsidP="00A82A42">
      <w:pPr>
        <w:pStyle w:val="1"/>
        <w:ind w:firstLine="640"/>
        <w:rPr>
          <w:rFonts w:asciiTheme="minorEastAsia" w:hAnsiTheme="minorEastAsia" w:cs="宋体]擦..杝."/>
          <w:color w:val="000000"/>
          <w:kern w:val="0"/>
          <w:sz w:val="32"/>
          <w:szCs w:val="28"/>
        </w:rPr>
      </w:pPr>
      <w:r w:rsidRPr="00D56FBD">
        <w:rPr>
          <w:rFonts w:asciiTheme="minorEastAsia" w:hAnsiTheme="minorEastAsia" w:cs="宋体]擦..杝."/>
          <w:color w:val="000000"/>
          <w:kern w:val="0"/>
          <w:sz w:val="32"/>
          <w:szCs w:val="28"/>
        </w:rPr>
        <w:t>第九条 上市公司通过章程对董事、监事和高级管理人员转让其所持本公司股份规定更长的禁止转让期间、更低的</w:t>
      </w:r>
      <w:r w:rsidRPr="00D56FBD">
        <w:rPr>
          <w:rFonts w:asciiTheme="minorEastAsia" w:hAnsiTheme="minorEastAsia" w:cs="宋体]擦..杝."/>
          <w:color w:val="000000"/>
          <w:kern w:val="0"/>
          <w:sz w:val="32"/>
          <w:szCs w:val="28"/>
        </w:rPr>
        <w:lastRenderedPageBreak/>
        <w:t>可转让股份比例或者附加其它限制转让条件的，应当及时向本所申报。申报数据将视为相关人员向本所提交的将其所持本公司股份按相关规定予以管理的申请。</w:t>
      </w:r>
    </w:p>
    <w:p w:rsidR="00A82A42" w:rsidRPr="00D56FBD" w:rsidRDefault="00A82A42" w:rsidP="00A82A42">
      <w:pPr>
        <w:pStyle w:val="1"/>
        <w:ind w:firstLine="640"/>
        <w:rPr>
          <w:rFonts w:asciiTheme="minorEastAsia" w:hAnsiTheme="minorEastAsia" w:cs="宋体]擦..杝."/>
          <w:color w:val="000000"/>
          <w:kern w:val="0"/>
          <w:sz w:val="32"/>
          <w:szCs w:val="28"/>
        </w:rPr>
      </w:pPr>
      <w:r w:rsidRPr="00D56FBD">
        <w:rPr>
          <w:rFonts w:asciiTheme="minorEastAsia" w:hAnsiTheme="minorEastAsia" w:cs="宋体]擦..杝."/>
          <w:color w:val="000000"/>
          <w:kern w:val="0"/>
          <w:sz w:val="32"/>
          <w:szCs w:val="28"/>
        </w:rPr>
        <w:t>第十条 上市公司董事、监事和高级管理人员所持本公司股份发生变动的，应当自该事实发生之日起二个交易日内向上市公司报告，上市公司在接到报告后的二个工作日之内，通过</w:t>
      </w:r>
      <w:r w:rsidRPr="00D56FBD">
        <w:rPr>
          <w:rFonts w:asciiTheme="minorEastAsia" w:hAnsiTheme="minorEastAsia" w:cs="宋体]擦..杝." w:hint="eastAsia"/>
          <w:color w:val="000000"/>
          <w:kern w:val="0"/>
          <w:sz w:val="32"/>
          <w:szCs w:val="28"/>
        </w:rPr>
        <w:t>交易</w:t>
      </w:r>
      <w:r w:rsidRPr="00D56FBD">
        <w:rPr>
          <w:rFonts w:asciiTheme="minorEastAsia" w:hAnsiTheme="minorEastAsia" w:cs="宋体]擦..杝."/>
          <w:color w:val="000000"/>
          <w:kern w:val="0"/>
          <w:sz w:val="32"/>
          <w:szCs w:val="28"/>
        </w:rPr>
        <w:t>所网站进行在线填报，</w:t>
      </w:r>
      <w:r w:rsidRPr="00D56FBD">
        <w:rPr>
          <w:rFonts w:asciiTheme="minorEastAsia" w:hAnsiTheme="minorEastAsia" w:cs="宋体]擦..杝." w:hint="eastAsia"/>
          <w:color w:val="000000"/>
          <w:kern w:val="0"/>
          <w:sz w:val="32"/>
          <w:szCs w:val="28"/>
        </w:rPr>
        <w:t>交易所</w:t>
      </w:r>
      <w:r w:rsidRPr="00D56FBD">
        <w:rPr>
          <w:rFonts w:asciiTheme="minorEastAsia" w:hAnsiTheme="minorEastAsia" w:cs="宋体]擦..杝."/>
          <w:color w:val="000000"/>
          <w:kern w:val="0"/>
          <w:sz w:val="32"/>
          <w:szCs w:val="28"/>
        </w:rPr>
        <w:t>网站将于次日公开展示上述信息。</w:t>
      </w:r>
    </w:p>
    <w:p w:rsidR="00A82A42" w:rsidRPr="00D56FBD" w:rsidRDefault="00A82A42" w:rsidP="00A82A42">
      <w:pPr>
        <w:pStyle w:val="1"/>
        <w:ind w:firstLine="640"/>
        <w:rPr>
          <w:rFonts w:asciiTheme="minorEastAsia" w:hAnsiTheme="minorEastAsia" w:cs="宋体]擦..杝."/>
          <w:color w:val="000000"/>
          <w:kern w:val="0"/>
          <w:sz w:val="32"/>
          <w:szCs w:val="28"/>
        </w:rPr>
      </w:pPr>
      <w:r w:rsidRPr="00D56FBD">
        <w:rPr>
          <w:rFonts w:asciiTheme="minorEastAsia" w:hAnsiTheme="minorEastAsia" w:cs="宋体]擦..杝."/>
          <w:color w:val="000000"/>
          <w:kern w:val="0"/>
          <w:sz w:val="32"/>
          <w:szCs w:val="28"/>
        </w:rPr>
        <w:t>第十一条 上市公司董事、监事和高级管理人员违反本指引规定的，本所视情节轻重给予相应处分。</w:t>
      </w:r>
    </w:p>
    <w:p w:rsidR="00A82A42" w:rsidRPr="00D56FBD" w:rsidRDefault="00A82A42" w:rsidP="00A82A42">
      <w:pPr>
        <w:pStyle w:val="1"/>
        <w:ind w:firstLine="640"/>
        <w:rPr>
          <w:rFonts w:asciiTheme="minorEastAsia" w:hAnsiTheme="minorEastAsia" w:cs="宋体]擦..杝."/>
          <w:color w:val="000000"/>
          <w:kern w:val="0"/>
          <w:sz w:val="32"/>
          <w:szCs w:val="28"/>
        </w:rPr>
      </w:pPr>
      <w:r w:rsidRPr="00D56FBD">
        <w:rPr>
          <w:rFonts w:asciiTheme="minorEastAsia" w:hAnsiTheme="minorEastAsia" w:cs="宋体]擦..杝." w:hint="eastAsia"/>
          <w:color w:val="000000"/>
          <w:kern w:val="0"/>
          <w:sz w:val="32"/>
          <w:szCs w:val="28"/>
        </w:rPr>
        <w:t>公司董事、监事、高级管理人员应当向公司申报所持有的本公司优先股及其变动情况，在任职期间每年转让的股份不得超过其所持本公司优先股股份总数的百分之二十五。公司章程可以对公司董事、监事、高级管理人员转让其所持有的本公司优先股股份</w:t>
      </w:r>
      <w:proofErr w:type="gramStart"/>
      <w:r w:rsidRPr="00D56FBD">
        <w:rPr>
          <w:rFonts w:asciiTheme="minorEastAsia" w:hAnsiTheme="minorEastAsia" w:cs="宋体]擦..杝." w:hint="eastAsia"/>
          <w:color w:val="000000"/>
          <w:kern w:val="0"/>
          <w:sz w:val="32"/>
          <w:szCs w:val="28"/>
        </w:rPr>
        <w:t>作出</w:t>
      </w:r>
      <w:proofErr w:type="gramEnd"/>
      <w:r w:rsidRPr="00D56FBD">
        <w:rPr>
          <w:rFonts w:asciiTheme="minorEastAsia" w:hAnsiTheme="minorEastAsia" w:cs="宋体]擦..杝." w:hint="eastAsia"/>
          <w:color w:val="000000"/>
          <w:kern w:val="0"/>
          <w:sz w:val="32"/>
          <w:szCs w:val="28"/>
        </w:rPr>
        <w:t>其他限制性规定。</w:t>
      </w:r>
    </w:p>
    <w:p w:rsidR="00A82A42" w:rsidRPr="00A82A42" w:rsidRDefault="00A82A42" w:rsidP="00B25AA8">
      <w:pPr>
        <w:pStyle w:val="a5"/>
        <w:ind w:firstLine="560"/>
        <w:rPr>
          <w:rFonts w:asciiTheme="minorEastAsia" w:hAnsiTheme="minorEastAsia"/>
          <w:sz w:val="28"/>
          <w:szCs w:val="28"/>
        </w:rPr>
      </w:pPr>
    </w:p>
    <w:p w:rsidR="00AA37A6" w:rsidRPr="00D56FBD" w:rsidRDefault="008B15DB">
      <w:pPr>
        <w:pStyle w:val="1"/>
        <w:numPr>
          <w:ilvl w:val="0"/>
          <w:numId w:val="1"/>
        </w:numPr>
        <w:ind w:firstLineChars="0"/>
        <w:rPr>
          <w:rFonts w:asciiTheme="minorEastAsia" w:hAnsiTheme="minorEastAsia"/>
          <w:b/>
          <w:sz w:val="32"/>
          <w:szCs w:val="28"/>
        </w:rPr>
      </w:pPr>
      <w:r w:rsidRPr="00D56FBD">
        <w:rPr>
          <w:rFonts w:asciiTheme="minorEastAsia" w:hAnsiTheme="minorEastAsia" w:hint="eastAsia"/>
          <w:b/>
          <w:sz w:val="32"/>
          <w:szCs w:val="28"/>
        </w:rPr>
        <w:t>ROA,ROE,加权平均净资产收益率的基本定义及计算方法？</w:t>
      </w:r>
    </w:p>
    <w:p w:rsidR="00E55FA1" w:rsidRPr="00D56FBD" w:rsidRDefault="00E55FA1" w:rsidP="00D56FBD">
      <w:pPr>
        <w:pStyle w:val="a5"/>
        <w:ind w:firstLine="640"/>
        <w:rPr>
          <w:rFonts w:asciiTheme="minorEastAsia" w:hAnsiTheme="minorEastAsia"/>
          <w:sz w:val="32"/>
          <w:szCs w:val="28"/>
        </w:rPr>
      </w:pPr>
      <w:r w:rsidRPr="00D56FBD">
        <w:rPr>
          <w:rFonts w:asciiTheme="minorEastAsia" w:hAnsiTheme="minorEastAsia" w:hint="eastAsia"/>
          <w:sz w:val="32"/>
          <w:szCs w:val="28"/>
        </w:rPr>
        <w:t>（1）ROA即资产收益率（英文：Return on Assets，简称：ROA），又称资产回报率或资产报酬率，是用来衡量每单位资产创造多少利润的指标。</w:t>
      </w:r>
    </w:p>
    <w:p w:rsidR="00E55FA1" w:rsidRPr="00D56FBD" w:rsidRDefault="00E55FA1" w:rsidP="00D56FBD">
      <w:pPr>
        <w:pStyle w:val="a5"/>
        <w:ind w:firstLine="640"/>
        <w:rPr>
          <w:rFonts w:asciiTheme="minorEastAsia" w:hAnsiTheme="minorEastAsia"/>
          <w:sz w:val="32"/>
          <w:szCs w:val="28"/>
        </w:rPr>
      </w:pPr>
      <w:r w:rsidRPr="00D56FBD">
        <w:rPr>
          <w:rFonts w:asciiTheme="minorEastAsia" w:hAnsiTheme="minorEastAsia" w:hint="eastAsia"/>
          <w:sz w:val="32"/>
          <w:szCs w:val="28"/>
        </w:rPr>
        <w:t>计算公式：ROA=</w:t>
      </w:r>
      <w:proofErr w:type="gramStart"/>
      <w:r w:rsidRPr="00D56FBD">
        <w:rPr>
          <w:rFonts w:asciiTheme="minorEastAsia" w:hAnsiTheme="minorEastAsia" w:hint="eastAsia"/>
          <w:sz w:val="32"/>
          <w:szCs w:val="28"/>
        </w:rPr>
        <w:t>报告期净利润</w:t>
      </w:r>
      <w:proofErr w:type="gramEnd"/>
      <w:r w:rsidRPr="00D56FBD">
        <w:rPr>
          <w:rFonts w:asciiTheme="minorEastAsia" w:hAnsiTheme="minorEastAsia" w:hint="eastAsia"/>
          <w:sz w:val="32"/>
          <w:szCs w:val="28"/>
        </w:rPr>
        <w:t>/总资产</w:t>
      </w:r>
    </w:p>
    <w:p w:rsidR="00E55FA1" w:rsidRPr="00D56FBD" w:rsidRDefault="00E55FA1" w:rsidP="00D56FBD">
      <w:pPr>
        <w:pStyle w:val="a5"/>
        <w:ind w:firstLine="640"/>
        <w:rPr>
          <w:rFonts w:asciiTheme="minorEastAsia" w:hAnsiTheme="minorEastAsia"/>
          <w:sz w:val="32"/>
          <w:szCs w:val="28"/>
        </w:rPr>
      </w:pPr>
      <w:r w:rsidRPr="00D56FBD">
        <w:rPr>
          <w:rFonts w:asciiTheme="minorEastAsia" w:hAnsiTheme="minorEastAsia" w:hint="eastAsia"/>
          <w:sz w:val="32"/>
          <w:szCs w:val="28"/>
        </w:rPr>
        <w:lastRenderedPageBreak/>
        <w:t>（2）ROE即净资产收益率（英文：Rate of Return on Common Stock holders</w:t>
      </w:r>
      <w:proofErr w:type="gramStart"/>
      <w:r w:rsidRPr="00D56FBD">
        <w:rPr>
          <w:rFonts w:asciiTheme="minorEastAsia" w:hAnsiTheme="minorEastAsia"/>
          <w:sz w:val="32"/>
          <w:szCs w:val="28"/>
        </w:rPr>
        <w:t>’</w:t>
      </w:r>
      <w:proofErr w:type="gramEnd"/>
      <w:r w:rsidRPr="00D56FBD">
        <w:rPr>
          <w:rFonts w:asciiTheme="minorEastAsia" w:hAnsiTheme="minorEastAsia" w:hint="eastAsia"/>
          <w:sz w:val="32"/>
          <w:szCs w:val="28"/>
        </w:rPr>
        <w:t xml:space="preserve"> Equity，简称：ROE）,又称股东权益报酬率或净资产利润率，该指标反映股东权益的收益水平，用以衡量公司运用自有资本的效率。</w:t>
      </w:r>
    </w:p>
    <w:p w:rsidR="00E55FA1" w:rsidRPr="00D56FBD" w:rsidRDefault="00E55FA1" w:rsidP="00D56FBD">
      <w:pPr>
        <w:pStyle w:val="a5"/>
        <w:ind w:firstLine="640"/>
        <w:rPr>
          <w:rFonts w:asciiTheme="minorEastAsia" w:hAnsiTheme="minorEastAsia"/>
          <w:sz w:val="32"/>
          <w:szCs w:val="28"/>
        </w:rPr>
      </w:pPr>
      <w:r w:rsidRPr="00D56FBD">
        <w:rPr>
          <w:rFonts w:asciiTheme="minorEastAsia" w:hAnsiTheme="minorEastAsia" w:hint="eastAsia"/>
          <w:sz w:val="32"/>
          <w:szCs w:val="28"/>
        </w:rPr>
        <w:t>计算公式：ROE=税后利润/所有者权益</w:t>
      </w:r>
    </w:p>
    <w:p w:rsidR="00E55FA1" w:rsidRPr="00D56FBD" w:rsidRDefault="00E55FA1" w:rsidP="00D56FBD">
      <w:pPr>
        <w:pStyle w:val="a5"/>
        <w:ind w:firstLine="640"/>
        <w:rPr>
          <w:rFonts w:asciiTheme="minorEastAsia" w:hAnsiTheme="minorEastAsia"/>
          <w:sz w:val="32"/>
          <w:szCs w:val="28"/>
        </w:rPr>
      </w:pPr>
      <w:r w:rsidRPr="00D56FBD">
        <w:rPr>
          <w:rFonts w:asciiTheme="minorEastAsia" w:hAnsiTheme="minorEastAsia" w:hint="eastAsia"/>
          <w:sz w:val="32"/>
          <w:szCs w:val="28"/>
        </w:rPr>
        <w:t>（3）净资产收益率有两种计算方法，一种是全面摊薄净资产收益率，另一种是加权平均净资产收益率。</w:t>
      </w:r>
    </w:p>
    <w:p w:rsidR="00E55FA1" w:rsidRPr="00D56FBD" w:rsidRDefault="00E55FA1" w:rsidP="00D56FBD">
      <w:pPr>
        <w:pStyle w:val="a5"/>
        <w:ind w:firstLine="640"/>
        <w:rPr>
          <w:rFonts w:asciiTheme="minorEastAsia" w:hAnsiTheme="minorEastAsia"/>
          <w:sz w:val="32"/>
          <w:szCs w:val="28"/>
        </w:rPr>
      </w:pPr>
      <w:r w:rsidRPr="00D56FBD">
        <w:rPr>
          <w:rFonts w:asciiTheme="minorEastAsia" w:hAnsiTheme="minorEastAsia" w:hint="eastAsia"/>
          <w:sz w:val="32"/>
          <w:szCs w:val="28"/>
        </w:rPr>
        <w:t>全面摊薄净资产收益率=</w:t>
      </w:r>
      <w:proofErr w:type="gramStart"/>
      <w:r w:rsidRPr="00D56FBD">
        <w:rPr>
          <w:rFonts w:asciiTheme="minorEastAsia" w:hAnsiTheme="minorEastAsia" w:hint="eastAsia"/>
          <w:sz w:val="32"/>
          <w:szCs w:val="28"/>
        </w:rPr>
        <w:t>报告期净利润</w:t>
      </w:r>
      <w:proofErr w:type="gramEnd"/>
      <w:r w:rsidRPr="00D56FBD">
        <w:rPr>
          <w:rFonts w:asciiTheme="minorEastAsia" w:hAnsiTheme="minorEastAsia" w:hint="eastAsia"/>
          <w:sz w:val="32"/>
          <w:szCs w:val="28"/>
        </w:rPr>
        <w:t>/期末净资产</w:t>
      </w:r>
    </w:p>
    <w:p w:rsidR="00E55FA1" w:rsidRPr="00D56FBD" w:rsidRDefault="00E55FA1" w:rsidP="00D56FBD">
      <w:pPr>
        <w:pStyle w:val="a5"/>
        <w:ind w:firstLine="640"/>
        <w:rPr>
          <w:rFonts w:asciiTheme="minorEastAsia" w:hAnsiTheme="minorEastAsia"/>
          <w:sz w:val="32"/>
          <w:szCs w:val="28"/>
        </w:rPr>
      </w:pPr>
      <w:r w:rsidRPr="00D56FBD">
        <w:rPr>
          <w:rFonts w:asciiTheme="minorEastAsia" w:hAnsiTheme="minorEastAsia" w:hint="eastAsia"/>
          <w:sz w:val="32"/>
          <w:szCs w:val="28"/>
        </w:rPr>
        <w:t>加权平均净资产收益率=</w:t>
      </w:r>
      <w:proofErr w:type="gramStart"/>
      <w:r w:rsidRPr="00D56FBD">
        <w:rPr>
          <w:rFonts w:asciiTheme="minorEastAsia" w:hAnsiTheme="minorEastAsia" w:hint="eastAsia"/>
          <w:sz w:val="32"/>
          <w:szCs w:val="28"/>
        </w:rPr>
        <w:t>报告期净利润</w:t>
      </w:r>
      <w:proofErr w:type="gramEnd"/>
      <w:r w:rsidRPr="00D56FBD">
        <w:rPr>
          <w:rFonts w:asciiTheme="minorEastAsia" w:hAnsiTheme="minorEastAsia" w:hint="eastAsia"/>
          <w:sz w:val="32"/>
          <w:szCs w:val="28"/>
        </w:rPr>
        <w:t>*2/（本年期初净资产+本年期末净资产）</w:t>
      </w:r>
    </w:p>
    <w:p w:rsidR="00E55FA1" w:rsidRPr="00D56FBD" w:rsidRDefault="00E55FA1" w:rsidP="00D56FBD">
      <w:pPr>
        <w:pStyle w:val="a5"/>
        <w:ind w:firstLine="640"/>
        <w:rPr>
          <w:rFonts w:asciiTheme="minorEastAsia" w:hAnsiTheme="minorEastAsia"/>
          <w:sz w:val="32"/>
          <w:szCs w:val="28"/>
        </w:rPr>
      </w:pPr>
      <w:r w:rsidRPr="00D56FBD">
        <w:rPr>
          <w:rFonts w:asciiTheme="minorEastAsia" w:hAnsiTheme="minorEastAsia" w:hint="eastAsia"/>
          <w:sz w:val="32"/>
          <w:szCs w:val="28"/>
        </w:rPr>
        <w:t>现在更多侧重采用加权平均计算方法计算出净资产收益率。</w:t>
      </w:r>
    </w:p>
    <w:p w:rsidR="00E55FA1" w:rsidRPr="00D56FBD" w:rsidRDefault="00E55FA1" w:rsidP="00D56FBD">
      <w:pPr>
        <w:pStyle w:val="a5"/>
        <w:ind w:firstLine="640"/>
        <w:rPr>
          <w:rFonts w:asciiTheme="minorEastAsia" w:hAnsiTheme="minorEastAsia"/>
          <w:sz w:val="32"/>
          <w:szCs w:val="28"/>
        </w:rPr>
      </w:pPr>
      <w:r w:rsidRPr="00D56FBD">
        <w:rPr>
          <w:rFonts w:asciiTheme="minorEastAsia" w:hAnsiTheme="minorEastAsia" w:hint="eastAsia"/>
          <w:sz w:val="32"/>
          <w:szCs w:val="28"/>
        </w:rPr>
        <w:t>根据中国证监会发布的《公开发行证券公司信息披露编报规则》第9号的通知规定，加权平均净资产收益率的计算公式如下：</w:t>
      </w:r>
    </w:p>
    <w:p w:rsidR="00E55FA1" w:rsidRPr="00D56FBD" w:rsidRDefault="00E55FA1" w:rsidP="00D56FBD">
      <w:pPr>
        <w:pStyle w:val="a5"/>
        <w:ind w:firstLine="640"/>
        <w:rPr>
          <w:rFonts w:asciiTheme="minorEastAsia" w:hAnsiTheme="minorEastAsia"/>
          <w:sz w:val="32"/>
          <w:szCs w:val="28"/>
        </w:rPr>
      </w:pPr>
      <m:oMathPara>
        <m:oMath>
          <m:r>
            <m:rPr>
              <m:sty m:val="p"/>
            </m:rPr>
            <w:rPr>
              <w:rFonts w:ascii="Cambria Math" w:hAnsiTheme="minorEastAsia" w:hint="eastAsia"/>
              <w:sz w:val="32"/>
              <w:szCs w:val="28"/>
            </w:rPr>
            <m:t>ROE=P/(Eo+NP</m:t>
          </m:r>
          <m:r>
            <m:rPr>
              <m:sty m:val="p"/>
            </m:rPr>
            <w:rPr>
              <w:rFonts w:asciiTheme="minorEastAsia" w:hAnsiTheme="minorEastAsia"/>
              <w:sz w:val="32"/>
              <w:szCs w:val="28"/>
            </w:rPr>
            <m:t>÷</m:t>
          </m:r>
          <m:r>
            <m:rPr>
              <m:sty m:val="p"/>
            </m:rPr>
            <w:rPr>
              <w:rFonts w:ascii="Cambria Math" w:hAnsiTheme="minorEastAsia"/>
              <w:sz w:val="32"/>
              <w:szCs w:val="28"/>
            </w:rPr>
            <m:t>2+Ei</m:t>
          </m:r>
          <m:r>
            <m:rPr>
              <m:sty m:val="p"/>
            </m:rPr>
            <w:rPr>
              <w:rFonts w:asciiTheme="minorEastAsia" w:hAnsiTheme="minorEastAsia"/>
              <w:sz w:val="32"/>
              <w:szCs w:val="28"/>
            </w:rPr>
            <m:t>×</m:t>
          </m:r>
          <m:r>
            <m:rPr>
              <m:sty m:val="p"/>
            </m:rPr>
            <w:rPr>
              <w:rFonts w:ascii="Cambria Math" w:hAnsiTheme="minorEastAsia"/>
              <w:sz w:val="32"/>
              <w:szCs w:val="28"/>
            </w:rPr>
            <m:t>Mi</m:t>
          </m:r>
          <m:r>
            <m:rPr>
              <m:sty m:val="p"/>
            </m:rPr>
            <w:rPr>
              <w:rFonts w:asciiTheme="minorEastAsia" w:hAnsiTheme="minorEastAsia"/>
              <w:sz w:val="32"/>
              <w:szCs w:val="28"/>
            </w:rPr>
            <m:t>÷</m:t>
          </m:r>
          <m:r>
            <m:rPr>
              <m:sty m:val="p"/>
            </m:rPr>
            <w:rPr>
              <w:rFonts w:ascii="Cambria Math" w:hAnsiTheme="minorEastAsia"/>
              <w:sz w:val="32"/>
              <w:szCs w:val="28"/>
            </w:rPr>
            <m:t>Mo</m:t>
          </m:r>
          <m:r>
            <m:rPr>
              <m:sty m:val="p"/>
            </m:rPr>
            <w:rPr>
              <w:rFonts w:asciiTheme="minorEastAsia" w:hAnsi="Cambria Math"/>
              <w:sz w:val="32"/>
              <w:szCs w:val="28"/>
            </w:rPr>
            <m:t>-</m:t>
          </m:r>
          <m:r>
            <m:rPr>
              <m:sty m:val="p"/>
            </m:rPr>
            <w:rPr>
              <w:rFonts w:ascii="Cambria Math" w:hAnsiTheme="minorEastAsia"/>
              <w:sz w:val="32"/>
              <w:szCs w:val="28"/>
            </w:rPr>
            <m:t>Ej</m:t>
          </m:r>
          <m:r>
            <m:rPr>
              <m:sty m:val="p"/>
            </m:rPr>
            <w:rPr>
              <w:rFonts w:asciiTheme="minorEastAsia" w:hAnsiTheme="minorEastAsia"/>
              <w:sz w:val="32"/>
              <w:szCs w:val="28"/>
            </w:rPr>
            <m:t>×</m:t>
          </m:r>
          <m:r>
            <m:rPr>
              <m:sty m:val="p"/>
            </m:rPr>
            <w:rPr>
              <w:rFonts w:ascii="Cambria Math" w:hAnsiTheme="minorEastAsia"/>
              <w:sz w:val="32"/>
              <w:szCs w:val="28"/>
            </w:rPr>
            <m:t>Mj</m:t>
          </m:r>
          <m:r>
            <m:rPr>
              <m:sty m:val="p"/>
            </m:rPr>
            <w:rPr>
              <w:rFonts w:asciiTheme="minorEastAsia" w:hAnsiTheme="minorEastAsia"/>
              <w:sz w:val="32"/>
              <w:szCs w:val="28"/>
            </w:rPr>
            <m:t>÷</m:t>
          </m:r>
          <m:r>
            <m:rPr>
              <m:sty m:val="p"/>
            </m:rPr>
            <w:rPr>
              <w:rFonts w:ascii="Cambria Math" w:hAnsiTheme="minorEastAsia"/>
              <w:sz w:val="32"/>
              <w:szCs w:val="28"/>
            </w:rPr>
            <m:t>Mo)</m:t>
          </m:r>
        </m:oMath>
      </m:oMathPara>
    </w:p>
    <w:p w:rsidR="00E55FA1" w:rsidRPr="00D56FBD" w:rsidRDefault="00E55FA1" w:rsidP="00E55FA1">
      <w:pPr>
        <w:pStyle w:val="1"/>
        <w:ind w:left="360" w:firstLineChars="0" w:firstLine="0"/>
        <w:rPr>
          <w:rFonts w:asciiTheme="minorEastAsia" w:hAnsiTheme="minorEastAsia"/>
          <w:sz w:val="32"/>
          <w:szCs w:val="28"/>
        </w:rPr>
      </w:pPr>
      <w:r w:rsidRPr="00D56FBD">
        <w:rPr>
          <w:rFonts w:asciiTheme="minorEastAsia" w:hAnsiTheme="minorEastAsia" w:hint="eastAsia"/>
          <w:sz w:val="32"/>
          <w:szCs w:val="28"/>
        </w:rPr>
        <w:t>其中：P为报告期利润，NP为</w:t>
      </w:r>
      <w:proofErr w:type="gramStart"/>
      <w:r w:rsidRPr="00D56FBD">
        <w:rPr>
          <w:rFonts w:asciiTheme="minorEastAsia" w:hAnsiTheme="minorEastAsia" w:hint="eastAsia"/>
          <w:sz w:val="32"/>
          <w:szCs w:val="28"/>
        </w:rPr>
        <w:t>报告期净利润</w:t>
      </w:r>
      <w:proofErr w:type="gramEnd"/>
      <w:r w:rsidRPr="00D56FBD">
        <w:rPr>
          <w:rFonts w:asciiTheme="minorEastAsia" w:hAnsiTheme="minorEastAsia" w:hint="eastAsia"/>
          <w:sz w:val="32"/>
          <w:szCs w:val="28"/>
        </w:rPr>
        <w:t>，</w:t>
      </w:r>
      <m:oMath>
        <m:r>
          <m:rPr>
            <m:sty m:val="p"/>
          </m:rPr>
          <w:rPr>
            <w:rFonts w:ascii="Cambria Math" w:hAnsiTheme="minorEastAsia" w:hint="eastAsia"/>
            <w:sz w:val="32"/>
            <w:szCs w:val="28"/>
          </w:rPr>
          <m:t>Eo</m:t>
        </m:r>
      </m:oMath>
      <w:r w:rsidRPr="00D56FBD">
        <w:rPr>
          <w:rFonts w:asciiTheme="minorEastAsia" w:hAnsiTheme="minorEastAsia" w:hint="eastAsia"/>
          <w:sz w:val="32"/>
          <w:szCs w:val="28"/>
        </w:rPr>
        <w:t>为期初净资产，</w:t>
      </w:r>
      <m:oMath>
        <m:r>
          <m:rPr>
            <m:sty m:val="p"/>
          </m:rPr>
          <w:rPr>
            <w:rFonts w:ascii="Cambria Math" w:hAnsiTheme="minorEastAsia"/>
            <w:sz w:val="32"/>
            <w:szCs w:val="28"/>
          </w:rPr>
          <m:t>Ei</m:t>
        </m:r>
      </m:oMath>
      <w:r w:rsidRPr="00D56FBD">
        <w:rPr>
          <w:rFonts w:asciiTheme="minorEastAsia" w:hAnsiTheme="minorEastAsia" w:hint="eastAsia"/>
          <w:sz w:val="32"/>
          <w:szCs w:val="28"/>
        </w:rPr>
        <w:t>为报告期发行</w:t>
      </w:r>
      <w:proofErr w:type="gramStart"/>
      <w:r w:rsidRPr="00D56FBD">
        <w:rPr>
          <w:rFonts w:asciiTheme="minorEastAsia" w:hAnsiTheme="minorEastAsia" w:hint="eastAsia"/>
          <w:sz w:val="32"/>
          <w:szCs w:val="28"/>
        </w:rPr>
        <w:t>新股或债转</w:t>
      </w:r>
      <w:proofErr w:type="gramEnd"/>
      <w:r w:rsidRPr="00D56FBD">
        <w:rPr>
          <w:rFonts w:asciiTheme="minorEastAsia" w:hAnsiTheme="minorEastAsia" w:hint="eastAsia"/>
          <w:sz w:val="32"/>
          <w:szCs w:val="28"/>
        </w:rPr>
        <w:t>股等新增净资产，</w:t>
      </w:r>
      <m:oMath>
        <m:r>
          <m:rPr>
            <m:sty m:val="p"/>
          </m:rPr>
          <w:rPr>
            <w:rFonts w:ascii="Cambria Math" w:hAnsiTheme="minorEastAsia"/>
            <w:sz w:val="32"/>
            <w:szCs w:val="28"/>
          </w:rPr>
          <m:t>Ej</m:t>
        </m:r>
      </m:oMath>
      <w:r w:rsidRPr="00D56FBD">
        <w:rPr>
          <w:rFonts w:asciiTheme="minorEastAsia" w:hAnsiTheme="minorEastAsia" w:hint="eastAsia"/>
          <w:sz w:val="32"/>
          <w:szCs w:val="28"/>
        </w:rPr>
        <w:t>为报告期回购或现金分红等减少净资产，</w:t>
      </w:r>
      <m:oMath>
        <m:r>
          <m:rPr>
            <m:sty m:val="p"/>
          </m:rPr>
          <w:rPr>
            <w:rFonts w:ascii="Cambria Math" w:hAnsiTheme="minorEastAsia"/>
            <w:sz w:val="32"/>
            <w:szCs w:val="28"/>
          </w:rPr>
          <m:t>Mo</m:t>
        </m:r>
      </m:oMath>
      <w:r w:rsidRPr="00D56FBD">
        <w:rPr>
          <w:rFonts w:asciiTheme="minorEastAsia" w:hAnsiTheme="minorEastAsia" w:hint="eastAsia"/>
          <w:sz w:val="32"/>
          <w:szCs w:val="28"/>
        </w:rPr>
        <w:t>为报告期月份数，</w:t>
      </w:r>
      <m:oMath>
        <m:r>
          <m:rPr>
            <m:sty m:val="p"/>
          </m:rPr>
          <w:rPr>
            <w:rFonts w:ascii="Cambria Math" w:hAnsiTheme="minorEastAsia"/>
            <w:sz w:val="32"/>
            <w:szCs w:val="28"/>
          </w:rPr>
          <m:t>Mi</m:t>
        </m:r>
      </m:oMath>
      <w:r w:rsidRPr="00D56FBD">
        <w:rPr>
          <w:rFonts w:asciiTheme="minorEastAsia" w:hAnsiTheme="minorEastAsia" w:hint="eastAsia"/>
          <w:sz w:val="32"/>
          <w:szCs w:val="28"/>
        </w:rPr>
        <w:t>为新增净资产下一个月份起</w:t>
      </w:r>
      <w:proofErr w:type="gramStart"/>
      <w:r w:rsidRPr="00D56FBD">
        <w:rPr>
          <w:rFonts w:asciiTheme="minorEastAsia" w:hAnsiTheme="minorEastAsia" w:hint="eastAsia"/>
          <w:sz w:val="32"/>
          <w:szCs w:val="28"/>
        </w:rPr>
        <w:t>至报告</w:t>
      </w:r>
      <w:proofErr w:type="gramEnd"/>
      <w:r w:rsidRPr="00D56FBD">
        <w:rPr>
          <w:rFonts w:asciiTheme="minorEastAsia" w:hAnsiTheme="minorEastAsia" w:hint="eastAsia"/>
          <w:sz w:val="32"/>
          <w:szCs w:val="28"/>
        </w:rPr>
        <w:t>期期末的月份数，</w:t>
      </w:r>
      <m:oMath>
        <m:r>
          <m:rPr>
            <m:sty m:val="p"/>
          </m:rPr>
          <w:rPr>
            <w:rFonts w:ascii="Cambria Math" w:hAnsiTheme="minorEastAsia"/>
            <w:sz w:val="32"/>
            <w:szCs w:val="28"/>
          </w:rPr>
          <m:t>Mj</m:t>
        </m:r>
      </m:oMath>
      <w:r w:rsidRPr="00D56FBD">
        <w:rPr>
          <w:rFonts w:asciiTheme="minorEastAsia" w:hAnsiTheme="minorEastAsia" w:hint="eastAsia"/>
          <w:sz w:val="32"/>
          <w:szCs w:val="28"/>
        </w:rPr>
        <w:t>为减少净资产下一个月份起</w:t>
      </w:r>
      <w:proofErr w:type="gramStart"/>
      <w:r w:rsidRPr="00D56FBD">
        <w:rPr>
          <w:rFonts w:asciiTheme="minorEastAsia" w:hAnsiTheme="minorEastAsia" w:hint="eastAsia"/>
          <w:sz w:val="32"/>
          <w:szCs w:val="28"/>
        </w:rPr>
        <w:t>至报告</w:t>
      </w:r>
      <w:proofErr w:type="gramEnd"/>
      <w:r w:rsidRPr="00D56FBD">
        <w:rPr>
          <w:rFonts w:asciiTheme="minorEastAsia" w:hAnsiTheme="minorEastAsia" w:hint="eastAsia"/>
          <w:sz w:val="32"/>
          <w:szCs w:val="28"/>
        </w:rPr>
        <w:t>期期末的月份数。</w:t>
      </w:r>
    </w:p>
    <w:p w:rsidR="00772917" w:rsidRPr="00D56FBD" w:rsidRDefault="00772917" w:rsidP="00D56FBD">
      <w:pPr>
        <w:pStyle w:val="1"/>
        <w:ind w:firstLineChars="0" w:firstLine="0"/>
        <w:rPr>
          <w:rFonts w:asciiTheme="minorEastAsia" w:hAnsiTheme="minorEastAsia"/>
          <w:sz w:val="32"/>
          <w:szCs w:val="28"/>
        </w:rPr>
      </w:pPr>
    </w:p>
    <w:p w:rsidR="00AA37A6" w:rsidRPr="00D56FBD" w:rsidRDefault="008B15DB">
      <w:pPr>
        <w:pStyle w:val="1"/>
        <w:numPr>
          <w:ilvl w:val="0"/>
          <w:numId w:val="1"/>
        </w:numPr>
        <w:ind w:firstLineChars="0"/>
        <w:rPr>
          <w:rFonts w:asciiTheme="minorEastAsia" w:hAnsiTheme="minorEastAsia"/>
          <w:b/>
          <w:sz w:val="32"/>
          <w:szCs w:val="28"/>
        </w:rPr>
      </w:pPr>
      <w:r w:rsidRPr="00D56FBD">
        <w:rPr>
          <w:rFonts w:asciiTheme="minorEastAsia" w:hAnsiTheme="minorEastAsia" w:hint="eastAsia"/>
          <w:b/>
          <w:sz w:val="32"/>
          <w:szCs w:val="28"/>
        </w:rPr>
        <w:lastRenderedPageBreak/>
        <w:t>商业银行定期报告中的杠杆率指标是什么？</w:t>
      </w:r>
    </w:p>
    <w:p w:rsidR="00772917" w:rsidRPr="00D56FBD" w:rsidRDefault="00444FB2" w:rsidP="00D56FBD">
      <w:pPr>
        <w:pStyle w:val="1"/>
        <w:ind w:firstLineChars="212" w:firstLine="678"/>
        <w:rPr>
          <w:rFonts w:asciiTheme="minorEastAsia" w:hAnsiTheme="minorEastAsia"/>
          <w:sz w:val="32"/>
          <w:szCs w:val="28"/>
        </w:rPr>
      </w:pPr>
      <w:r w:rsidRPr="00D56FBD">
        <w:rPr>
          <w:rFonts w:asciiTheme="minorEastAsia" w:hAnsiTheme="minorEastAsia" w:hint="eastAsia"/>
          <w:sz w:val="32"/>
          <w:szCs w:val="28"/>
        </w:rPr>
        <w:t>商业银行的杠杆率指标衡量的是一级资本与调整后表内外资产余额之间的比例，反映了商业银行抵御风险的能力。</w:t>
      </w:r>
    </w:p>
    <w:p w:rsidR="00C274A0" w:rsidRPr="00D56FBD" w:rsidRDefault="00C274A0" w:rsidP="00A82A42">
      <w:pPr>
        <w:pStyle w:val="1"/>
        <w:ind w:firstLineChars="0" w:firstLine="0"/>
        <w:rPr>
          <w:rFonts w:asciiTheme="minorEastAsia" w:hAnsiTheme="minorEastAsia"/>
          <w:b/>
          <w:sz w:val="32"/>
          <w:szCs w:val="28"/>
        </w:rPr>
      </w:pPr>
    </w:p>
    <w:p w:rsidR="00AA37A6" w:rsidRPr="00D56FBD" w:rsidRDefault="00AC52EA">
      <w:pPr>
        <w:pStyle w:val="1"/>
        <w:numPr>
          <w:ilvl w:val="0"/>
          <w:numId w:val="1"/>
        </w:numPr>
        <w:ind w:firstLineChars="0"/>
        <w:rPr>
          <w:rFonts w:asciiTheme="minorEastAsia" w:hAnsiTheme="minorEastAsia"/>
          <w:b/>
          <w:sz w:val="32"/>
          <w:szCs w:val="28"/>
        </w:rPr>
      </w:pPr>
      <w:r w:rsidRPr="00D56FBD">
        <w:rPr>
          <w:rFonts w:asciiTheme="minorEastAsia" w:hAnsiTheme="minorEastAsia" w:hint="eastAsia"/>
          <w:b/>
          <w:sz w:val="32"/>
          <w:szCs w:val="28"/>
        </w:rPr>
        <w:t>银行中计算资产负债时所用的</w:t>
      </w:r>
      <w:r w:rsidR="008B15DB" w:rsidRPr="00D56FBD">
        <w:rPr>
          <w:rFonts w:asciiTheme="minorEastAsia" w:hAnsiTheme="minorEastAsia" w:hint="eastAsia"/>
          <w:b/>
          <w:sz w:val="32"/>
          <w:szCs w:val="28"/>
        </w:rPr>
        <w:t>平均余额</w:t>
      </w:r>
      <w:r w:rsidRPr="00D56FBD">
        <w:rPr>
          <w:rFonts w:asciiTheme="minorEastAsia" w:hAnsiTheme="minorEastAsia" w:hint="eastAsia"/>
          <w:b/>
          <w:sz w:val="32"/>
          <w:szCs w:val="28"/>
        </w:rPr>
        <w:t>和</w:t>
      </w:r>
      <w:r w:rsidR="008B15DB" w:rsidRPr="00D56FBD">
        <w:rPr>
          <w:rFonts w:asciiTheme="minorEastAsia" w:hAnsiTheme="minorEastAsia" w:hint="eastAsia"/>
          <w:b/>
          <w:sz w:val="32"/>
          <w:szCs w:val="28"/>
        </w:rPr>
        <w:t>期末余额的</w:t>
      </w:r>
      <w:r w:rsidRPr="00D56FBD">
        <w:rPr>
          <w:rFonts w:asciiTheme="minorEastAsia" w:hAnsiTheme="minorEastAsia" w:hint="eastAsia"/>
          <w:b/>
          <w:sz w:val="32"/>
          <w:szCs w:val="28"/>
        </w:rPr>
        <w:t>两种口径的</w:t>
      </w:r>
      <w:r w:rsidR="008B15DB" w:rsidRPr="00D56FBD">
        <w:rPr>
          <w:rFonts w:asciiTheme="minorEastAsia" w:hAnsiTheme="minorEastAsia" w:hint="eastAsia"/>
          <w:b/>
          <w:sz w:val="32"/>
          <w:szCs w:val="28"/>
        </w:rPr>
        <w:t>定义及计算？</w:t>
      </w:r>
    </w:p>
    <w:p w:rsidR="00C274A0" w:rsidRPr="00D56FBD" w:rsidRDefault="00C274A0" w:rsidP="00D56FBD">
      <w:pPr>
        <w:pStyle w:val="1"/>
        <w:ind w:firstLine="640"/>
        <w:rPr>
          <w:rFonts w:asciiTheme="minorEastAsia" w:hAnsiTheme="minorEastAsia"/>
          <w:sz w:val="32"/>
          <w:szCs w:val="28"/>
        </w:rPr>
      </w:pPr>
      <w:r w:rsidRPr="00D56FBD">
        <w:rPr>
          <w:rFonts w:asciiTheme="minorEastAsia" w:hAnsiTheme="minorEastAsia" w:hint="eastAsia"/>
          <w:sz w:val="32"/>
          <w:szCs w:val="28"/>
        </w:rPr>
        <w:t>期末余额指具体某个时间点当天的余额。平均余额指某一个时间段期间的资产/负债的平均余额。</w:t>
      </w:r>
    </w:p>
    <w:p w:rsidR="00444FB2" w:rsidRPr="00E40D71" w:rsidRDefault="00444FB2" w:rsidP="00444FB2">
      <w:pPr>
        <w:pStyle w:val="1"/>
        <w:ind w:firstLine="560"/>
        <w:rPr>
          <w:rFonts w:asciiTheme="minorEastAsia" w:hAnsiTheme="minorEastAsia"/>
          <w:sz w:val="28"/>
          <w:szCs w:val="28"/>
        </w:rPr>
      </w:pPr>
    </w:p>
    <w:p w:rsidR="00AA37A6" w:rsidRPr="00444FB2" w:rsidRDefault="00C37ACA" w:rsidP="00C37ACA">
      <w:pPr>
        <w:tabs>
          <w:tab w:val="left" w:pos="5970"/>
        </w:tabs>
        <w:rPr>
          <w:sz w:val="28"/>
          <w:szCs w:val="28"/>
        </w:rPr>
      </w:pPr>
      <w:r w:rsidRPr="00444FB2">
        <w:rPr>
          <w:sz w:val="28"/>
          <w:szCs w:val="28"/>
        </w:rPr>
        <w:tab/>
      </w:r>
    </w:p>
    <w:sectPr w:rsidR="00AA37A6" w:rsidRPr="00444FB2" w:rsidSect="00AA37A6">
      <w:headerReference w:type="even" r:id="rId9"/>
      <w:headerReference w:type="default" r:id="rId10"/>
      <w:footerReference w:type="default" r:id="rId1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24990" w:rsidRDefault="00624990" w:rsidP="0089654E">
      <w:r>
        <w:separator/>
      </w:r>
    </w:p>
  </w:endnote>
  <w:endnote w:type="continuationSeparator" w:id="1">
    <w:p w:rsidR="00624990" w:rsidRDefault="00624990" w:rsidP="0089654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宋体]擦..杝.">
    <w:altName w:val="宋体"/>
    <w:panose1 w:val="00000000000000000000"/>
    <w:charset w:val="86"/>
    <w:family w:val="roman"/>
    <w:notTrueType/>
    <w:pitch w:val="default"/>
    <w:sig w:usb0="00000001" w:usb1="080E0000" w:usb2="00000010" w:usb3="00000000" w:csb0="00040000"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756937"/>
      <w:docPartObj>
        <w:docPartGallery w:val="Page Numbers (Bottom of Page)"/>
        <w:docPartUnique/>
      </w:docPartObj>
    </w:sdtPr>
    <w:sdtContent>
      <w:p w:rsidR="005C7839" w:rsidRDefault="003B53D6">
        <w:pPr>
          <w:pStyle w:val="a3"/>
          <w:jc w:val="center"/>
        </w:pPr>
        <w:fldSimple w:instr=" PAGE   \* MERGEFORMAT ">
          <w:r w:rsidR="00A82A42" w:rsidRPr="00A82A42">
            <w:rPr>
              <w:noProof/>
              <w:lang w:val="zh-CN"/>
            </w:rPr>
            <w:t>2</w:t>
          </w:r>
        </w:fldSimple>
      </w:p>
    </w:sdtContent>
  </w:sdt>
  <w:p w:rsidR="005C7839" w:rsidRDefault="005C7839">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24990" w:rsidRDefault="00624990" w:rsidP="0089654E">
      <w:r>
        <w:separator/>
      </w:r>
    </w:p>
  </w:footnote>
  <w:footnote w:type="continuationSeparator" w:id="1">
    <w:p w:rsidR="00624990" w:rsidRDefault="00624990" w:rsidP="0089654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7839" w:rsidRDefault="005C7839" w:rsidP="005C7839">
    <w:pPr>
      <w:pStyle w:val="a4"/>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7839" w:rsidRDefault="005C7839" w:rsidP="005C7839">
    <w:pPr>
      <w:pStyle w:val="a4"/>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F8F592A"/>
    <w:multiLevelType w:val="multilevel"/>
    <w:tmpl w:val="622453F2"/>
    <w:lvl w:ilvl="0">
      <w:start w:val="1"/>
      <w:numFmt w:val="decimal"/>
      <w:lvlText w:val="%1."/>
      <w:lvlJc w:val="left"/>
      <w:pPr>
        <w:ind w:left="360" w:hanging="360"/>
      </w:pPr>
      <w:rPr>
        <w:rFonts w:hint="default"/>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94018"/>
    <w:rsid w:val="00087A64"/>
    <w:rsid w:val="000C09EA"/>
    <w:rsid w:val="00131937"/>
    <w:rsid w:val="001360BF"/>
    <w:rsid w:val="00195D2C"/>
    <w:rsid w:val="001B2395"/>
    <w:rsid w:val="001F532E"/>
    <w:rsid w:val="00211223"/>
    <w:rsid w:val="00270242"/>
    <w:rsid w:val="002B5BBA"/>
    <w:rsid w:val="002C0C37"/>
    <w:rsid w:val="002D071C"/>
    <w:rsid w:val="002F7A34"/>
    <w:rsid w:val="00333779"/>
    <w:rsid w:val="003B53D6"/>
    <w:rsid w:val="00444FB2"/>
    <w:rsid w:val="004941A3"/>
    <w:rsid w:val="00536721"/>
    <w:rsid w:val="005431F2"/>
    <w:rsid w:val="005B393A"/>
    <w:rsid w:val="005C7839"/>
    <w:rsid w:val="00623D0B"/>
    <w:rsid w:val="00624990"/>
    <w:rsid w:val="00643E5F"/>
    <w:rsid w:val="00651DA1"/>
    <w:rsid w:val="006A08E6"/>
    <w:rsid w:val="006F4A3E"/>
    <w:rsid w:val="00755A86"/>
    <w:rsid w:val="0076257D"/>
    <w:rsid w:val="007653CF"/>
    <w:rsid w:val="00772917"/>
    <w:rsid w:val="00780539"/>
    <w:rsid w:val="007D134A"/>
    <w:rsid w:val="008243DA"/>
    <w:rsid w:val="00830646"/>
    <w:rsid w:val="0086194C"/>
    <w:rsid w:val="0089654E"/>
    <w:rsid w:val="008B1178"/>
    <w:rsid w:val="008B15DB"/>
    <w:rsid w:val="0098257D"/>
    <w:rsid w:val="009A1122"/>
    <w:rsid w:val="009A76AD"/>
    <w:rsid w:val="00A12D01"/>
    <w:rsid w:val="00A6122A"/>
    <w:rsid w:val="00A72F0E"/>
    <w:rsid w:val="00A82A42"/>
    <w:rsid w:val="00AA37A6"/>
    <w:rsid w:val="00AC52EA"/>
    <w:rsid w:val="00AC7FC9"/>
    <w:rsid w:val="00AE0A4F"/>
    <w:rsid w:val="00B25AA8"/>
    <w:rsid w:val="00B54D5F"/>
    <w:rsid w:val="00BB4D43"/>
    <w:rsid w:val="00BC1CF3"/>
    <w:rsid w:val="00BD4398"/>
    <w:rsid w:val="00C274A0"/>
    <w:rsid w:val="00C37ACA"/>
    <w:rsid w:val="00D077A8"/>
    <w:rsid w:val="00D509F5"/>
    <w:rsid w:val="00D53132"/>
    <w:rsid w:val="00D56FBD"/>
    <w:rsid w:val="00D77D1D"/>
    <w:rsid w:val="00D8293A"/>
    <w:rsid w:val="00E40D71"/>
    <w:rsid w:val="00E5087E"/>
    <w:rsid w:val="00E55FA1"/>
    <w:rsid w:val="00ED31A0"/>
    <w:rsid w:val="00F165EB"/>
    <w:rsid w:val="00F501C2"/>
    <w:rsid w:val="00F94018"/>
    <w:rsid w:val="00FC079D"/>
    <w:rsid w:val="00FF685B"/>
    <w:rsid w:val="2FBD3E8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37A6"/>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AA37A6"/>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AA37A6"/>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qFormat/>
    <w:rsid w:val="00AA37A6"/>
    <w:rPr>
      <w:sz w:val="18"/>
      <w:szCs w:val="18"/>
    </w:rPr>
  </w:style>
  <w:style w:type="character" w:customStyle="1" w:styleId="Char">
    <w:name w:val="页脚 Char"/>
    <w:basedOn w:val="a0"/>
    <w:link w:val="a3"/>
    <w:uiPriority w:val="99"/>
    <w:rsid w:val="00AA37A6"/>
    <w:rPr>
      <w:sz w:val="18"/>
      <w:szCs w:val="18"/>
    </w:rPr>
  </w:style>
  <w:style w:type="paragraph" w:customStyle="1" w:styleId="1">
    <w:name w:val="列出段落1"/>
    <w:basedOn w:val="a"/>
    <w:uiPriority w:val="34"/>
    <w:qFormat/>
    <w:rsid w:val="00AA37A6"/>
    <w:pPr>
      <w:ind w:firstLineChars="200" w:firstLine="420"/>
    </w:pPr>
  </w:style>
  <w:style w:type="paragraph" w:styleId="a5">
    <w:name w:val="List Paragraph"/>
    <w:basedOn w:val="a"/>
    <w:uiPriority w:val="34"/>
    <w:qFormat/>
    <w:rsid w:val="00B25AA8"/>
    <w:pPr>
      <w:ind w:firstLineChars="200" w:firstLine="420"/>
    </w:pPr>
  </w:style>
  <w:style w:type="paragraph" w:styleId="a6">
    <w:name w:val="Balloon Text"/>
    <w:basedOn w:val="a"/>
    <w:link w:val="Char1"/>
    <w:uiPriority w:val="99"/>
    <w:semiHidden/>
    <w:unhideWhenUsed/>
    <w:rsid w:val="00E55FA1"/>
    <w:rPr>
      <w:sz w:val="18"/>
      <w:szCs w:val="18"/>
    </w:rPr>
  </w:style>
  <w:style w:type="character" w:customStyle="1" w:styleId="Char1">
    <w:name w:val="批注框文本 Char"/>
    <w:basedOn w:val="a0"/>
    <w:link w:val="a6"/>
    <w:uiPriority w:val="99"/>
    <w:semiHidden/>
    <w:rsid w:val="00E55FA1"/>
    <w:rPr>
      <w:kern w:val="2"/>
      <w:sz w:val="18"/>
      <w:szCs w:val="18"/>
    </w:rPr>
  </w:style>
  <w:style w:type="paragraph" w:customStyle="1" w:styleId="Default">
    <w:name w:val="Default"/>
    <w:rsid w:val="00BB4D43"/>
    <w:pPr>
      <w:widowControl w:val="0"/>
      <w:autoSpaceDE w:val="0"/>
      <w:autoSpaceDN w:val="0"/>
      <w:adjustRightInd w:val="0"/>
    </w:pPr>
    <w:rPr>
      <w:rFonts w:ascii="宋体]擦..杝." w:eastAsia="宋体]擦..杝." w:cs="宋体]擦..杝."/>
      <w:color w:val="000000"/>
      <w:sz w:val="24"/>
      <w:szCs w:val="24"/>
    </w:rPr>
  </w:style>
  <w:style w:type="character" w:styleId="a7">
    <w:name w:val="Hyperlink"/>
    <w:basedOn w:val="a0"/>
    <w:uiPriority w:val="99"/>
    <w:semiHidden/>
    <w:unhideWhenUsed/>
    <w:rsid w:val="0098257D"/>
    <w:rPr>
      <w:color w:val="0000FF"/>
      <w:u w:val="single"/>
    </w:rPr>
  </w:style>
  <w:style w:type="paragraph" w:styleId="a8">
    <w:name w:val="footnote text"/>
    <w:basedOn w:val="a"/>
    <w:link w:val="Char2"/>
    <w:uiPriority w:val="99"/>
    <w:semiHidden/>
    <w:unhideWhenUsed/>
    <w:rsid w:val="005C7839"/>
    <w:pPr>
      <w:snapToGrid w:val="0"/>
      <w:jc w:val="left"/>
    </w:pPr>
    <w:rPr>
      <w:sz w:val="18"/>
      <w:szCs w:val="18"/>
    </w:rPr>
  </w:style>
  <w:style w:type="character" w:customStyle="1" w:styleId="Char2">
    <w:name w:val="脚注文本 Char"/>
    <w:basedOn w:val="a0"/>
    <w:link w:val="a8"/>
    <w:uiPriority w:val="99"/>
    <w:semiHidden/>
    <w:rsid w:val="005C7839"/>
    <w:rPr>
      <w:kern w:val="2"/>
      <w:sz w:val="18"/>
      <w:szCs w:val="18"/>
    </w:rPr>
  </w:style>
  <w:style w:type="character" w:styleId="a9">
    <w:name w:val="footnote reference"/>
    <w:basedOn w:val="a0"/>
    <w:uiPriority w:val="99"/>
    <w:semiHidden/>
    <w:unhideWhenUsed/>
    <w:rsid w:val="005C7839"/>
    <w:rPr>
      <w:vertAlign w:val="superscript"/>
    </w:rPr>
  </w:style>
</w:styles>
</file>

<file path=word/webSettings.xml><?xml version="1.0" encoding="utf-8"?>
<w:webSettings xmlns:r="http://schemas.openxmlformats.org/officeDocument/2006/relationships" xmlns:w="http://schemas.openxmlformats.org/wordprocessingml/2006/main">
  <w:divs>
    <w:div w:id="474564126">
      <w:bodyDiv w:val="1"/>
      <w:marLeft w:val="0"/>
      <w:marRight w:val="0"/>
      <w:marTop w:val="0"/>
      <w:marBottom w:val="0"/>
      <w:divBdr>
        <w:top w:val="none" w:sz="0" w:space="0" w:color="auto"/>
        <w:left w:val="none" w:sz="0" w:space="0" w:color="auto"/>
        <w:bottom w:val="none" w:sz="0" w:space="0" w:color="auto"/>
        <w:right w:val="none" w:sz="0" w:space="0" w:color="auto"/>
      </w:divBdr>
      <w:divsChild>
        <w:div w:id="1679387306">
          <w:marLeft w:val="0"/>
          <w:marRight w:val="0"/>
          <w:marTop w:val="0"/>
          <w:marBottom w:val="251"/>
          <w:divBdr>
            <w:top w:val="none" w:sz="0" w:space="0" w:color="auto"/>
            <w:left w:val="none" w:sz="0" w:space="0" w:color="auto"/>
            <w:bottom w:val="none" w:sz="0" w:space="0" w:color="auto"/>
            <w:right w:val="none" w:sz="0" w:space="0" w:color="auto"/>
          </w:divBdr>
        </w:div>
        <w:div w:id="649134727">
          <w:marLeft w:val="0"/>
          <w:marRight w:val="0"/>
          <w:marTop w:val="0"/>
          <w:marBottom w:val="251"/>
          <w:divBdr>
            <w:top w:val="none" w:sz="0" w:space="0" w:color="auto"/>
            <w:left w:val="none" w:sz="0" w:space="0" w:color="auto"/>
            <w:bottom w:val="none" w:sz="0" w:space="0" w:color="auto"/>
            <w:right w:val="none" w:sz="0" w:space="0" w:color="auto"/>
          </w:divBdr>
        </w:div>
        <w:div w:id="14623560">
          <w:marLeft w:val="0"/>
          <w:marRight w:val="0"/>
          <w:marTop w:val="0"/>
          <w:marBottom w:val="251"/>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C4588658-F59D-4B4D-BCD8-717C55E54BE1}">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389</TotalTime>
  <Pages>4</Pages>
  <Words>239</Words>
  <Characters>1368</Characters>
  <Application>Microsoft Office Word</Application>
  <DocSecurity>0</DocSecurity>
  <Lines>11</Lines>
  <Paragraphs>3</Paragraphs>
  <ScaleCrop>false</ScaleCrop>
  <Company/>
  <LinksUpToDate>false</LinksUpToDate>
  <CharactersWithSpaces>1604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njcb</dc:creator>
  <cp:lastModifiedBy>njcb</cp:lastModifiedBy>
  <cp:revision>19</cp:revision>
  <cp:lastPrinted>2017-06-22T07:53:00Z</cp:lastPrinted>
  <dcterms:created xsi:type="dcterms:W3CDTF">2017-06-21T07:32:00Z</dcterms:created>
  <dcterms:modified xsi:type="dcterms:W3CDTF">2017-07-14T01:50:00Z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2052-10.1.0.6393</vt:lpwstr>
  </property>
</Properties>
</file>