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A6" w:rsidRPr="00444FB2" w:rsidRDefault="00AA37A6">
      <w:pPr>
        <w:rPr>
          <w:sz w:val="28"/>
          <w:szCs w:val="28"/>
        </w:rPr>
      </w:pPr>
    </w:p>
    <w:p w:rsidR="00AA37A6" w:rsidRPr="00EC48B8" w:rsidRDefault="008B15DB">
      <w:pPr>
        <w:jc w:val="center"/>
        <w:rPr>
          <w:b/>
          <w:sz w:val="36"/>
          <w:szCs w:val="28"/>
        </w:rPr>
      </w:pPr>
      <w:r w:rsidRPr="00EC48B8">
        <w:rPr>
          <w:rFonts w:hint="eastAsia"/>
          <w:b/>
          <w:sz w:val="36"/>
          <w:szCs w:val="28"/>
        </w:rPr>
        <w:t>2017</w:t>
      </w:r>
      <w:r w:rsidRPr="00EC48B8">
        <w:rPr>
          <w:rFonts w:hint="eastAsia"/>
          <w:b/>
          <w:sz w:val="36"/>
          <w:szCs w:val="28"/>
        </w:rPr>
        <w:t>年南京银行投资者宣教一般问答</w:t>
      </w:r>
    </w:p>
    <w:p w:rsidR="00772917" w:rsidRPr="00E40D71" w:rsidRDefault="00EC48B8" w:rsidP="00C274A0">
      <w:pPr>
        <w:pStyle w:val="1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</w:t>
      </w:r>
    </w:p>
    <w:p w:rsidR="00AA37A6" w:rsidRPr="00EC48B8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EC48B8">
        <w:rPr>
          <w:rFonts w:asciiTheme="minorEastAsia" w:hAnsiTheme="minorEastAsia" w:hint="eastAsia"/>
          <w:b/>
          <w:sz w:val="32"/>
          <w:szCs w:val="28"/>
        </w:rPr>
        <w:t>商业银行资本主要构成结构？</w:t>
      </w:r>
      <w:bookmarkStart w:id="0" w:name="_GoBack"/>
      <w:bookmarkEnd w:id="0"/>
    </w:p>
    <w:p w:rsidR="00444FB2" w:rsidRPr="00EC48B8" w:rsidRDefault="00444FB2" w:rsidP="00EC48B8">
      <w:pPr>
        <w:pStyle w:val="1"/>
        <w:ind w:firstLineChars="202" w:firstLine="646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商业银行资本主要构成有：核心一级资本（实收资本、资本公积、盈余公积、一般风险准备、未分配利润等）、其他一级资本（其他一级资本工具及少数股东权益可计入部分）和二级资本（二级资本工具及超额贷款损失准备）。</w:t>
      </w:r>
    </w:p>
    <w:p w:rsidR="00772917" w:rsidRPr="00EC48B8" w:rsidRDefault="00772917" w:rsidP="00EC48B8">
      <w:pPr>
        <w:pStyle w:val="1"/>
        <w:ind w:firstLineChars="202" w:firstLine="646"/>
        <w:rPr>
          <w:rFonts w:asciiTheme="minorEastAsia" w:hAnsiTheme="minorEastAsia"/>
          <w:sz w:val="32"/>
          <w:szCs w:val="28"/>
        </w:rPr>
      </w:pPr>
    </w:p>
    <w:p w:rsidR="00AA37A6" w:rsidRPr="00EC48B8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EC48B8">
        <w:rPr>
          <w:rFonts w:asciiTheme="minorEastAsia" w:hAnsiTheme="minorEastAsia" w:hint="eastAsia"/>
          <w:b/>
          <w:sz w:val="32"/>
          <w:szCs w:val="28"/>
        </w:rPr>
        <w:t>银行主要资产质量指标有哪些？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判断一家银行资产质量如何，从传统上意义上讲，关键看资本充足率、不良贷款率和不良资产的拨备覆盖率这三个指标。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（1）资本充足率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资本充足率，是保证银行等金融机构正常运营和发展所必需的资本比率，也是各国金融管理当局对商业银行资本充足的管制要求，目的是监测银行抵御风险的能力。资本充足率有不同的口径，主要比率有资本对存款比率、资本对负债比率、资本对总资产的比率与资本对风险资产的比率等。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根据《巴塞尔协议</w:t>
      </w:r>
      <w:r w:rsidR="005D3F6E" w:rsidRPr="00EC48B8">
        <w:rPr>
          <w:rFonts w:asciiTheme="minorEastAsia" w:hAnsiTheme="minorEastAsia"/>
          <w:sz w:val="32"/>
          <w:szCs w:val="28"/>
        </w:rPr>
        <w:fldChar w:fldCharType="begin"/>
      </w:r>
      <w:r w:rsidR="002C0C37" w:rsidRPr="00EC48B8">
        <w:rPr>
          <w:rFonts w:asciiTheme="minorEastAsia" w:hAnsiTheme="minorEastAsia"/>
          <w:sz w:val="32"/>
          <w:szCs w:val="28"/>
        </w:rPr>
        <w:instrText xml:space="preserve"> </w:instrText>
      </w:r>
      <w:r w:rsidR="002C0C37" w:rsidRPr="00EC48B8">
        <w:rPr>
          <w:rFonts w:asciiTheme="minorEastAsia" w:hAnsiTheme="minorEastAsia" w:hint="eastAsia"/>
          <w:sz w:val="32"/>
          <w:szCs w:val="28"/>
        </w:rPr>
        <w:instrText>= 3 \* ROMAN</w:instrText>
      </w:r>
      <w:r w:rsidR="002C0C37" w:rsidRPr="00EC48B8">
        <w:rPr>
          <w:rFonts w:asciiTheme="minorEastAsia" w:hAnsiTheme="minorEastAsia"/>
          <w:sz w:val="32"/>
          <w:szCs w:val="28"/>
        </w:rPr>
        <w:instrText xml:space="preserve"> </w:instrText>
      </w:r>
      <w:r w:rsidR="005D3F6E" w:rsidRPr="00EC48B8">
        <w:rPr>
          <w:rFonts w:asciiTheme="minorEastAsia" w:hAnsiTheme="minorEastAsia"/>
          <w:sz w:val="32"/>
          <w:szCs w:val="28"/>
        </w:rPr>
        <w:fldChar w:fldCharType="separate"/>
      </w:r>
      <w:r w:rsidR="002C0C37" w:rsidRPr="00EC48B8">
        <w:rPr>
          <w:rFonts w:asciiTheme="minorEastAsia" w:hAnsiTheme="minorEastAsia"/>
          <w:noProof/>
          <w:sz w:val="32"/>
          <w:szCs w:val="28"/>
        </w:rPr>
        <w:t>III</w:t>
      </w:r>
      <w:r w:rsidR="005D3F6E" w:rsidRPr="00EC48B8">
        <w:rPr>
          <w:rFonts w:asciiTheme="minorEastAsia" w:hAnsiTheme="minorEastAsia"/>
          <w:sz w:val="32"/>
          <w:szCs w:val="28"/>
        </w:rPr>
        <w:fldChar w:fldCharType="end"/>
      </w:r>
      <w:r w:rsidRPr="00EC48B8">
        <w:rPr>
          <w:rFonts w:asciiTheme="minorEastAsia" w:hAnsiTheme="minorEastAsia" w:hint="eastAsia"/>
          <w:sz w:val="32"/>
          <w:szCs w:val="28"/>
        </w:rPr>
        <w:t>》，我国规定商业银行必须达到的资本充足率指标是：</w:t>
      </w:r>
      <w:r w:rsidR="00643E5F" w:rsidRPr="00EC48B8">
        <w:rPr>
          <w:rFonts w:asciiTheme="minorEastAsia" w:hAnsiTheme="minorEastAsia" w:hint="eastAsia"/>
          <w:sz w:val="32"/>
          <w:szCs w:val="28"/>
        </w:rPr>
        <w:t>截止2018年底，系统性重要银行</w:t>
      </w:r>
      <w:r w:rsidRPr="00EC48B8">
        <w:rPr>
          <w:rFonts w:asciiTheme="minorEastAsia" w:hAnsiTheme="minorEastAsia" w:hint="eastAsia"/>
          <w:sz w:val="32"/>
          <w:szCs w:val="28"/>
        </w:rPr>
        <w:t>核心一级资本充足率</w:t>
      </w:r>
      <w:r w:rsidR="00643E5F" w:rsidRPr="00EC48B8">
        <w:rPr>
          <w:rFonts w:asciiTheme="minorEastAsia" w:hAnsiTheme="minorEastAsia" w:hint="eastAsia"/>
          <w:sz w:val="32"/>
          <w:szCs w:val="28"/>
        </w:rPr>
        <w:t>、一级资本充足率、资本充足率</w:t>
      </w:r>
      <w:r w:rsidRPr="00EC48B8">
        <w:rPr>
          <w:rFonts w:asciiTheme="minorEastAsia" w:hAnsiTheme="minorEastAsia" w:hint="eastAsia"/>
          <w:sz w:val="32"/>
          <w:szCs w:val="28"/>
        </w:rPr>
        <w:t>不得低于</w:t>
      </w:r>
      <w:r w:rsidR="00643E5F" w:rsidRPr="00EC48B8">
        <w:rPr>
          <w:rFonts w:asciiTheme="minorEastAsia" w:hAnsiTheme="minorEastAsia" w:hint="eastAsia"/>
          <w:sz w:val="32"/>
          <w:szCs w:val="28"/>
        </w:rPr>
        <w:lastRenderedPageBreak/>
        <w:t>8.5%、9.5%、11.5%，</w:t>
      </w:r>
      <w:r w:rsidR="006A08E6" w:rsidRPr="00EC48B8">
        <w:rPr>
          <w:rFonts w:asciiTheme="minorEastAsia" w:hAnsiTheme="minorEastAsia" w:hint="eastAsia"/>
          <w:sz w:val="32"/>
          <w:szCs w:val="28"/>
        </w:rPr>
        <w:t>其他</w:t>
      </w:r>
      <w:r w:rsidR="00643E5F" w:rsidRPr="00EC48B8">
        <w:rPr>
          <w:rFonts w:asciiTheme="minorEastAsia" w:hAnsiTheme="minorEastAsia" w:hint="eastAsia"/>
          <w:sz w:val="32"/>
          <w:szCs w:val="28"/>
        </w:rPr>
        <w:t>银行核心一级资本充足率、一级资本充足率、资本充足率不得低于</w:t>
      </w:r>
      <w:r w:rsidR="00643E5F" w:rsidRPr="00EC48B8">
        <w:rPr>
          <w:rFonts w:asciiTheme="minorEastAsia" w:hAnsiTheme="minorEastAsia"/>
          <w:sz w:val="32"/>
          <w:szCs w:val="28"/>
        </w:rPr>
        <w:t>7.5</w:t>
      </w:r>
      <w:r w:rsidR="00643E5F" w:rsidRPr="00EC48B8">
        <w:rPr>
          <w:rFonts w:asciiTheme="minorEastAsia" w:hAnsiTheme="minorEastAsia" w:hint="eastAsia"/>
          <w:sz w:val="32"/>
          <w:szCs w:val="28"/>
        </w:rPr>
        <w:t>%、</w:t>
      </w:r>
      <w:r w:rsidR="00643E5F" w:rsidRPr="00EC48B8">
        <w:rPr>
          <w:rFonts w:asciiTheme="minorEastAsia" w:hAnsiTheme="minorEastAsia"/>
          <w:sz w:val="32"/>
          <w:szCs w:val="28"/>
        </w:rPr>
        <w:t>8.5</w:t>
      </w:r>
      <w:r w:rsidR="00643E5F" w:rsidRPr="00EC48B8">
        <w:rPr>
          <w:rFonts w:asciiTheme="minorEastAsia" w:hAnsiTheme="minorEastAsia" w:hint="eastAsia"/>
          <w:sz w:val="32"/>
          <w:szCs w:val="28"/>
        </w:rPr>
        <w:t>%、</w:t>
      </w:r>
      <w:r w:rsidR="00643E5F" w:rsidRPr="00EC48B8">
        <w:rPr>
          <w:rFonts w:asciiTheme="minorEastAsia" w:hAnsiTheme="minorEastAsia"/>
          <w:sz w:val="32"/>
          <w:szCs w:val="28"/>
        </w:rPr>
        <w:t>10.5</w:t>
      </w:r>
      <w:r w:rsidR="00643E5F" w:rsidRPr="00EC48B8">
        <w:rPr>
          <w:rFonts w:asciiTheme="minorEastAsia" w:hAnsiTheme="minorEastAsia" w:hint="eastAsia"/>
          <w:sz w:val="32"/>
          <w:szCs w:val="28"/>
        </w:rPr>
        <w:t>%。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（2）不良贷款率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依据《贷款风险分类指导原则》及《关于推进和完善贷款风险分类工作的通知》及相关法规要求，银行贷款分为五大类，分别是正常类贷款、关注类贷款、次级类贷款、可疑类贷款、损失类贷款，后三类贷款合计为不良贷款。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不良贷款率=（次级类贷款+可疑类贷款+损失类贷款）/各项贷款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（3）拨备覆盖率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拨备覆盖率是实际上银行贷款可能发生的呆、坏账准备金的使用比率，是衡量商业银行贷款损失准备金计提是否充足的一项重要指标。</w:t>
      </w:r>
    </w:p>
    <w:p w:rsidR="00BB4D43" w:rsidRPr="00EC48B8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拨备覆盖率=贷款损失准备/（次级类贷款+可疑类贷款+损失类贷款）</w:t>
      </w:r>
    </w:p>
    <w:p w:rsidR="00BB4D43" w:rsidRPr="00EC48B8" w:rsidRDefault="00BB4D43" w:rsidP="00BB4D43">
      <w:pPr>
        <w:pStyle w:val="1"/>
        <w:ind w:left="360" w:firstLineChars="0" w:firstLine="0"/>
        <w:rPr>
          <w:rFonts w:asciiTheme="minorEastAsia" w:hAnsiTheme="minorEastAsia"/>
          <w:b/>
          <w:sz w:val="32"/>
          <w:szCs w:val="28"/>
        </w:rPr>
      </w:pPr>
    </w:p>
    <w:p w:rsidR="00AA37A6" w:rsidRPr="00EC48B8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EC48B8">
        <w:rPr>
          <w:rFonts w:asciiTheme="minorEastAsia" w:hAnsiTheme="minorEastAsia" w:hint="eastAsia"/>
          <w:b/>
          <w:sz w:val="32"/>
          <w:szCs w:val="28"/>
        </w:rPr>
        <w:t>银行的主要流动性指标包含哪些内容</w:t>
      </w:r>
      <w:r w:rsidR="0089654E" w:rsidRPr="00EC48B8">
        <w:rPr>
          <w:rFonts w:asciiTheme="minorEastAsia" w:hAnsiTheme="minorEastAsia" w:hint="eastAsia"/>
          <w:b/>
          <w:sz w:val="32"/>
          <w:szCs w:val="28"/>
        </w:rPr>
        <w:t xml:space="preserve">? </w:t>
      </w:r>
    </w:p>
    <w:p w:rsidR="00772917" w:rsidRPr="00EC48B8" w:rsidRDefault="00444FB2" w:rsidP="00EC48B8">
      <w:pPr>
        <w:pStyle w:val="1"/>
        <w:ind w:firstLineChars="212" w:firstLine="678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银行的主要流动性指标包括：流动性覆盖率、</w:t>
      </w:r>
      <w:proofErr w:type="gramStart"/>
      <w:r w:rsidRPr="00EC48B8">
        <w:rPr>
          <w:rFonts w:asciiTheme="minorEastAsia" w:hAnsiTheme="minorEastAsia" w:hint="eastAsia"/>
          <w:sz w:val="32"/>
          <w:szCs w:val="28"/>
        </w:rPr>
        <w:t>净稳定</w:t>
      </w:r>
      <w:proofErr w:type="gramEnd"/>
      <w:r w:rsidRPr="00EC48B8">
        <w:rPr>
          <w:rFonts w:asciiTheme="minorEastAsia" w:hAnsiTheme="minorEastAsia" w:hint="eastAsia"/>
          <w:sz w:val="32"/>
          <w:szCs w:val="28"/>
        </w:rPr>
        <w:t>资金比例、流动性缺口率、同业负债依存度等。</w:t>
      </w:r>
    </w:p>
    <w:p w:rsidR="00772917" w:rsidRPr="00EC48B8" w:rsidRDefault="00772917" w:rsidP="00EC48B8">
      <w:pPr>
        <w:pStyle w:val="1"/>
        <w:ind w:firstLineChars="150" w:firstLine="480"/>
        <w:rPr>
          <w:rFonts w:asciiTheme="minorEastAsia" w:hAnsiTheme="minorEastAsia"/>
          <w:sz w:val="32"/>
          <w:szCs w:val="28"/>
        </w:rPr>
      </w:pPr>
    </w:p>
    <w:p w:rsidR="00AA37A6" w:rsidRPr="00EC48B8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EC48B8">
        <w:rPr>
          <w:rFonts w:asciiTheme="minorEastAsia" w:hAnsiTheme="minorEastAsia" w:hint="eastAsia"/>
          <w:b/>
          <w:sz w:val="32"/>
          <w:szCs w:val="28"/>
        </w:rPr>
        <w:t>反洗钱的主要内容？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 w:cs="宋体]擦..杝."/>
          <w:color w:val="000000"/>
          <w:kern w:val="0"/>
          <w:sz w:val="32"/>
          <w:szCs w:val="28"/>
        </w:rPr>
      </w:pPr>
      <w:r w:rsidRPr="00EC48B8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中华人民共和国反洗钱法</w:t>
      </w:r>
      <w:r w:rsidR="00772917" w:rsidRPr="00EC48B8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规定</w:t>
      </w:r>
      <w:r w:rsidRPr="00EC48B8">
        <w:rPr>
          <w:rFonts w:asciiTheme="minorEastAsia" w:hAnsiTheme="minorEastAsia" w:cs="宋体]擦..杝."/>
          <w:color w:val="000000"/>
          <w:kern w:val="0"/>
          <w:sz w:val="32"/>
          <w:szCs w:val="28"/>
        </w:rPr>
        <w:t>为了预防通过各种方式</w:t>
      </w:r>
      <w:r w:rsidRPr="00EC48B8">
        <w:rPr>
          <w:rFonts w:asciiTheme="minorEastAsia" w:hAnsiTheme="minorEastAsia" w:cs="宋体]擦..杝."/>
          <w:color w:val="000000"/>
          <w:kern w:val="0"/>
          <w:sz w:val="32"/>
          <w:szCs w:val="28"/>
        </w:rPr>
        <w:lastRenderedPageBreak/>
        <w:t>掩饰、隐瞒毒品犯罪、黑社会性质的组织犯罪、恐怖活动犯罪、走私犯罪、贪污贿赂犯罪、破坏金融管理秩序犯罪、金融诈骗犯罪等犯罪所得及其收益的来源和性质的洗钱活动，依照本法规定采取相关措施的行为。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 w:cs="宋体]擦..杝."/>
          <w:color w:val="000000"/>
          <w:kern w:val="0"/>
          <w:sz w:val="32"/>
          <w:szCs w:val="28"/>
        </w:rPr>
      </w:pPr>
      <w:r w:rsidRPr="00EC48B8">
        <w:rPr>
          <w:rFonts w:asciiTheme="minorEastAsia" w:hAnsiTheme="minorEastAsia" w:cs="宋体]擦..杝."/>
          <w:color w:val="000000"/>
          <w:kern w:val="0"/>
          <w:sz w:val="32"/>
          <w:szCs w:val="28"/>
        </w:rPr>
        <w:t>在中华人民共和国境内设立的金融机构和按照规定应当履行反洗</w:t>
      </w:r>
      <w:proofErr w:type="gramStart"/>
      <w:r w:rsidRPr="00EC48B8">
        <w:rPr>
          <w:rFonts w:asciiTheme="minorEastAsia" w:hAnsiTheme="minorEastAsia" w:cs="宋体]擦..杝."/>
          <w:color w:val="000000"/>
          <w:kern w:val="0"/>
          <w:sz w:val="32"/>
          <w:szCs w:val="28"/>
        </w:rPr>
        <w:t>钱义务</w:t>
      </w:r>
      <w:proofErr w:type="gramEnd"/>
      <w:r w:rsidRPr="00EC48B8">
        <w:rPr>
          <w:rFonts w:asciiTheme="minorEastAsia" w:hAnsiTheme="minorEastAsia" w:cs="宋体]擦..杝."/>
          <w:color w:val="000000"/>
          <w:kern w:val="0"/>
          <w:sz w:val="32"/>
          <w:szCs w:val="28"/>
        </w:rPr>
        <w:t>的特定非金融机构，应当依法采取预防、监控措施，建立健全客户身份识别制度、客户身份资料和交易记录保存制度、大额交易和可疑交易报告制度，履行反洗钱义务</w:t>
      </w:r>
      <w:r w:rsidRPr="00EC48B8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。</w:t>
      </w:r>
    </w:p>
    <w:p w:rsidR="00444FB2" w:rsidRPr="00EC48B8" w:rsidRDefault="00444FB2" w:rsidP="00EC48B8">
      <w:pPr>
        <w:rPr>
          <w:rFonts w:asciiTheme="minorEastAsia" w:hAnsiTheme="minorEastAsia"/>
          <w:sz w:val="32"/>
          <w:szCs w:val="28"/>
        </w:rPr>
      </w:pPr>
    </w:p>
    <w:p w:rsidR="00C37ACA" w:rsidRPr="00EC48B8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EC48B8">
        <w:rPr>
          <w:rFonts w:asciiTheme="minorEastAsia" w:hAnsiTheme="minorEastAsia" w:hint="eastAsia"/>
          <w:b/>
          <w:sz w:val="32"/>
          <w:szCs w:val="28"/>
        </w:rPr>
        <w:t>如何算出当前股价的复权价格？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/>
          <w:sz w:val="32"/>
          <w:szCs w:val="28"/>
        </w:rPr>
        <w:t>复权就是对</w:t>
      </w:r>
      <w:hyperlink r:id="rId9" w:tgtFrame="_blank" w:history="1">
        <w:r w:rsidRPr="00EC48B8">
          <w:rPr>
            <w:rFonts w:asciiTheme="minorEastAsia" w:hAnsiTheme="minorEastAsia"/>
            <w:sz w:val="32"/>
            <w:szCs w:val="28"/>
          </w:rPr>
          <w:t>股价</w:t>
        </w:r>
      </w:hyperlink>
      <w:r w:rsidRPr="00EC48B8">
        <w:rPr>
          <w:rFonts w:asciiTheme="minorEastAsia" w:hAnsiTheme="minorEastAsia"/>
          <w:sz w:val="32"/>
          <w:szCs w:val="28"/>
        </w:rPr>
        <w:t>和</w:t>
      </w:r>
      <w:hyperlink r:id="rId10" w:tgtFrame="_blank" w:history="1">
        <w:r w:rsidRPr="00EC48B8">
          <w:rPr>
            <w:rFonts w:asciiTheme="minorEastAsia" w:hAnsiTheme="minorEastAsia"/>
            <w:sz w:val="32"/>
            <w:szCs w:val="28"/>
          </w:rPr>
          <w:t>成交量</w:t>
        </w:r>
      </w:hyperlink>
      <w:r w:rsidRPr="00EC48B8">
        <w:rPr>
          <w:rFonts w:asciiTheme="minorEastAsia" w:hAnsiTheme="minorEastAsia"/>
          <w:sz w:val="32"/>
          <w:szCs w:val="28"/>
        </w:rPr>
        <w:t>进行权息修复，按照股票的实际涨跌绘制股价</w:t>
      </w:r>
      <w:hyperlink r:id="rId11" w:tgtFrame="_blank" w:history="1">
        <w:r w:rsidRPr="00EC48B8">
          <w:rPr>
            <w:rFonts w:asciiTheme="minorEastAsia" w:hAnsiTheme="minorEastAsia"/>
            <w:sz w:val="32"/>
            <w:szCs w:val="28"/>
          </w:rPr>
          <w:t>走势图</w:t>
        </w:r>
      </w:hyperlink>
      <w:r w:rsidRPr="00EC48B8">
        <w:rPr>
          <w:rFonts w:asciiTheme="minorEastAsia" w:hAnsiTheme="minorEastAsia"/>
          <w:sz w:val="32"/>
          <w:szCs w:val="28"/>
        </w:rPr>
        <w:t>,并把成交量调整为相同的</w:t>
      </w:r>
      <w:hyperlink r:id="rId12" w:tgtFrame="_blank" w:history="1">
        <w:r w:rsidRPr="00EC48B8">
          <w:rPr>
            <w:rFonts w:asciiTheme="minorEastAsia" w:hAnsiTheme="minorEastAsia"/>
            <w:sz w:val="32"/>
            <w:szCs w:val="28"/>
          </w:rPr>
          <w:t>股本</w:t>
        </w:r>
      </w:hyperlink>
      <w:r w:rsidRPr="00EC48B8">
        <w:rPr>
          <w:rFonts w:asciiTheme="minorEastAsia" w:hAnsiTheme="minorEastAsia"/>
          <w:sz w:val="32"/>
          <w:szCs w:val="28"/>
        </w:rPr>
        <w:t>口径</w:t>
      </w:r>
      <w:r w:rsidRPr="00EC48B8">
        <w:rPr>
          <w:rFonts w:asciiTheme="minorEastAsia" w:hAnsiTheme="minorEastAsia" w:hint="eastAsia"/>
          <w:sz w:val="32"/>
          <w:szCs w:val="28"/>
        </w:rPr>
        <w:t>。</w:t>
      </w:r>
      <w:hyperlink r:id="rId13" w:tgtFrame="_blank" w:history="1">
        <w:r w:rsidRPr="00EC48B8">
          <w:rPr>
            <w:rFonts w:asciiTheme="minorEastAsia" w:hAnsiTheme="minorEastAsia"/>
            <w:sz w:val="32"/>
            <w:szCs w:val="28"/>
          </w:rPr>
          <w:t>股票行情</w:t>
        </w:r>
      </w:hyperlink>
      <w:r w:rsidRPr="00EC48B8">
        <w:rPr>
          <w:rFonts w:asciiTheme="minorEastAsia" w:hAnsiTheme="minorEastAsia"/>
          <w:sz w:val="32"/>
          <w:szCs w:val="28"/>
        </w:rPr>
        <w:t>有</w:t>
      </w:r>
      <w:hyperlink r:id="rId14" w:tgtFrame="_blank" w:history="1">
        <w:r w:rsidRPr="00EC48B8">
          <w:rPr>
            <w:rFonts w:asciiTheme="minorEastAsia" w:hAnsiTheme="minorEastAsia"/>
            <w:sz w:val="32"/>
            <w:szCs w:val="28"/>
          </w:rPr>
          <w:t>除权</w:t>
        </w:r>
      </w:hyperlink>
      <w:r w:rsidRPr="00EC48B8">
        <w:rPr>
          <w:rFonts w:asciiTheme="minorEastAsia" w:hAnsiTheme="minorEastAsia"/>
          <w:sz w:val="32"/>
          <w:szCs w:val="28"/>
        </w:rPr>
        <w:t>与复权，在计算股票</w:t>
      </w:r>
      <w:hyperlink r:id="rId15" w:tgtFrame="_blank" w:history="1">
        <w:r w:rsidRPr="00EC48B8">
          <w:rPr>
            <w:rFonts w:asciiTheme="minorEastAsia" w:hAnsiTheme="minorEastAsia"/>
            <w:sz w:val="32"/>
            <w:szCs w:val="28"/>
          </w:rPr>
          <w:t>涨跌幅</w:t>
        </w:r>
      </w:hyperlink>
      <w:r w:rsidRPr="00EC48B8">
        <w:rPr>
          <w:rFonts w:asciiTheme="minorEastAsia" w:hAnsiTheme="minorEastAsia"/>
          <w:sz w:val="32"/>
          <w:szCs w:val="28"/>
        </w:rPr>
        <w:t>时采用</w:t>
      </w:r>
      <w:hyperlink r:id="rId16" w:tgtFrame="_blank" w:history="1">
        <w:r w:rsidRPr="00EC48B8">
          <w:rPr>
            <w:rFonts w:asciiTheme="minorEastAsia" w:hAnsiTheme="minorEastAsia"/>
            <w:sz w:val="32"/>
            <w:szCs w:val="28"/>
          </w:rPr>
          <w:t>复权价格</w:t>
        </w:r>
      </w:hyperlink>
      <w:r w:rsidRPr="00EC48B8">
        <w:rPr>
          <w:rFonts w:asciiTheme="minorEastAsia" w:hAnsiTheme="minorEastAsia"/>
          <w:sz w:val="32"/>
          <w:szCs w:val="28"/>
        </w:rPr>
        <w:t>，这是经常要用到的。系统计算分为以下步骤：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（1）</w:t>
      </w:r>
      <w:r w:rsidRPr="00EC48B8">
        <w:rPr>
          <w:rFonts w:asciiTheme="minorEastAsia" w:hAnsiTheme="minorEastAsia"/>
          <w:sz w:val="32"/>
          <w:szCs w:val="28"/>
        </w:rPr>
        <w:t>每次除权行为日，在</w:t>
      </w:r>
      <w:hyperlink r:id="rId17" w:tgtFrame="_blank" w:history="1">
        <w:r w:rsidRPr="00EC48B8">
          <w:rPr>
            <w:rFonts w:asciiTheme="minorEastAsia" w:hAnsiTheme="minorEastAsia"/>
            <w:sz w:val="32"/>
            <w:szCs w:val="28"/>
          </w:rPr>
          <w:t>登记日</w:t>
        </w:r>
      </w:hyperlink>
      <w:r w:rsidRPr="00EC48B8">
        <w:rPr>
          <w:rFonts w:asciiTheme="minorEastAsia" w:hAnsiTheme="minorEastAsia"/>
          <w:sz w:val="32"/>
          <w:szCs w:val="28"/>
        </w:rPr>
        <w:t>计算除权价；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/>
          <w:sz w:val="32"/>
          <w:szCs w:val="28"/>
        </w:rPr>
        <w:t>除权价=（除权前一日</w:t>
      </w:r>
      <w:hyperlink r:id="rId18" w:tgtFrame="_blank" w:history="1">
        <w:r w:rsidRPr="00EC48B8">
          <w:rPr>
            <w:rFonts w:asciiTheme="minorEastAsia" w:hAnsiTheme="minorEastAsia"/>
            <w:sz w:val="32"/>
            <w:szCs w:val="28"/>
          </w:rPr>
          <w:t>收盘价</w:t>
        </w:r>
      </w:hyperlink>
      <w:r w:rsidRPr="00EC48B8">
        <w:rPr>
          <w:rFonts w:asciiTheme="minorEastAsia" w:hAnsiTheme="minorEastAsia"/>
          <w:sz w:val="32"/>
          <w:szCs w:val="28"/>
        </w:rPr>
        <w:t>+</w:t>
      </w:r>
      <w:hyperlink r:id="rId19" w:tgtFrame="_blank" w:history="1">
        <w:r w:rsidRPr="00EC48B8">
          <w:rPr>
            <w:rFonts w:asciiTheme="minorEastAsia" w:hAnsiTheme="minorEastAsia"/>
            <w:sz w:val="32"/>
            <w:szCs w:val="28"/>
          </w:rPr>
          <w:t>配股价</w:t>
        </w:r>
      </w:hyperlink>
      <w:r w:rsidRPr="00EC48B8">
        <w:rPr>
          <w:rFonts w:asciiTheme="minorEastAsia" w:hAnsiTheme="minorEastAsia"/>
          <w:sz w:val="32"/>
          <w:szCs w:val="28"/>
        </w:rPr>
        <w:t>X配股比率－每股</w:t>
      </w:r>
      <w:hyperlink r:id="rId20" w:tgtFrame="_blank" w:history="1">
        <w:r w:rsidRPr="00EC48B8">
          <w:rPr>
            <w:rFonts w:asciiTheme="minorEastAsia" w:hAnsiTheme="minorEastAsia"/>
            <w:sz w:val="32"/>
            <w:szCs w:val="28"/>
          </w:rPr>
          <w:t>派息</w:t>
        </w:r>
      </w:hyperlink>
      <w:r w:rsidRPr="00EC48B8">
        <w:rPr>
          <w:rFonts w:asciiTheme="minorEastAsia" w:hAnsiTheme="minorEastAsia"/>
          <w:sz w:val="32"/>
          <w:szCs w:val="28"/>
        </w:rPr>
        <w:t>）/（1+配股比率+</w:t>
      </w:r>
      <w:hyperlink r:id="rId21" w:tgtFrame="_blank" w:history="1">
        <w:r w:rsidRPr="00EC48B8">
          <w:rPr>
            <w:rFonts w:asciiTheme="minorEastAsia" w:hAnsiTheme="minorEastAsia"/>
            <w:sz w:val="32"/>
            <w:szCs w:val="28"/>
          </w:rPr>
          <w:t>送股</w:t>
        </w:r>
      </w:hyperlink>
      <w:r w:rsidRPr="00EC48B8">
        <w:rPr>
          <w:rFonts w:asciiTheme="minorEastAsia" w:hAnsiTheme="minorEastAsia"/>
          <w:sz w:val="32"/>
          <w:szCs w:val="28"/>
        </w:rPr>
        <w:t>比率）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（2）</w:t>
      </w:r>
      <w:r w:rsidRPr="00EC48B8">
        <w:rPr>
          <w:rFonts w:asciiTheme="minorEastAsia" w:hAnsiTheme="minorEastAsia"/>
          <w:sz w:val="32"/>
          <w:szCs w:val="28"/>
        </w:rPr>
        <w:t>用登记日的收盘价除以除权价得到单次除权因子；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/>
          <w:sz w:val="32"/>
          <w:szCs w:val="28"/>
        </w:rPr>
        <w:t>除权因子=收盘价/除权价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（3）</w:t>
      </w:r>
      <w:r w:rsidRPr="00EC48B8">
        <w:rPr>
          <w:rFonts w:asciiTheme="minorEastAsia" w:hAnsiTheme="minorEastAsia"/>
          <w:sz w:val="32"/>
          <w:szCs w:val="28"/>
        </w:rPr>
        <w:t>将公司上市以来的除权因子连乘积，得到对应每一交易日的除权因子；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lastRenderedPageBreak/>
        <w:t>（4）</w:t>
      </w:r>
      <w:r w:rsidRPr="00EC48B8">
        <w:rPr>
          <w:rFonts w:asciiTheme="minorEastAsia" w:hAnsiTheme="minorEastAsia"/>
          <w:sz w:val="32"/>
          <w:szCs w:val="28"/>
        </w:rPr>
        <w:t>向后复权价=股票收盘价（实际交易价）*每一交易日的除权因子；</w:t>
      </w:r>
    </w:p>
    <w:p w:rsidR="00C274A0" w:rsidRPr="00EC48B8" w:rsidRDefault="00C274A0" w:rsidP="00EC48B8">
      <w:pPr>
        <w:pStyle w:val="1"/>
        <w:ind w:firstLine="640"/>
        <w:rPr>
          <w:rFonts w:asciiTheme="minorEastAsia" w:hAnsiTheme="minorEastAsia"/>
          <w:sz w:val="32"/>
          <w:szCs w:val="28"/>
        </w:rPr>
      </w:pPr>
      <w:r w:rsidRPr="00EC48B8">
        <w:rPr>
          <w:rFonts w:asciiTheme="minorEastAsia" w:hAnsiTheme="minorEastAsia" w:hint="eastAsia"/>
          <w:sz w:val="32"/>
          <w:szCs w:val="28"/>
        </w:rPr>
        <w:t>（5）</w:t>
      </w:r>
      <w:r w:rsidRPr="00EC48B8">
        <w:rPr>
          <w:rFonts w:asciiTheme="minorEastAsia" w:hAnsiTheme="minorEastAsia"/>
          <w:sz w:val="32"/>
          <w:szCs w:val="28"/>
        </w:rPr>
        <w:t>复权涨幅=复权价/前一日复权价-1。</w:t>
      </w:r>
    </w:p>
    <w:p w:rsidR="00AA37A6" w:rsidRPr="00444FB2" w:rsidRDefault="00C37ACA" w:rsidP="00C37ACA">
      <w:pPr>
        <w:tabs>
          <w:tab w:val="left" w:pos="5970"/>
        </w:tabs>
        <w:rPr>
          <w:sz w:val="28"/>
          <w:szCs w:val="28"/>
        </w:rPr>
      </w:pPr>
      <w:r w:rsidRPr="00444FB2">
        <w:rPr>
          <w:sz w:val="28"/>
          <w:szCs w:val="28"/>
        </w:rPr>
        <w:tab/>
      </w:r>
    </w:p>
    <w:sectPr w:rsidR="00AA37A6" w:rsidRPr="00444FB2" w:rsidSect="00AA37A6">
      <w:headerReference w:type="even" r:id="rId22"/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90" w:rsidRDefault="00624990" w:rsidP="0089654E">
      <w:r>
        <w:separator/>
      </w:r>
    </w:p>
  </w:endnote>
  <w:endnote w:type="continuationSeparator" w:id="1">
    <w:p w:rsidR="00624990" w:rsidRDefault="00624990" w:rsidP="0089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]擦..杝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937"/>
      <w:docPartObj>
        <w:docPartGallery w:val="Page Numbers (Bottom of Page)"/>
        <w:docPartUnique/>
      </w:docPartObj>
    </w:sdtPr>
    <w:sdtContent>
      <w:p w:rsidR="005C7839" w:rsidRDefault="005D3F6E">
        <w:pPr>
          <w:pStyle w:val="a3"/>
          <w:jc w:val="center"/>
        </w:pPr>
        <w:fldSimple w:instr=" PAGE   \* MERGEFORMAT ">
          <w:r w:rsidR="001646A4" w:rsidRPr="001646A4">
            <w:rPr>
              <w:noProof/>
              <w:lang w:val="zh-CN"/>
            </w:rPr>
            <w:t>3</w:t>
          </w:r>
        </w:fldSimple>
      </w:p>
    </w:sdtContent>
  </w:sdt>
  <w:p w:rsidR="005C7839" w:rsidRDefault="005C78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90" w:rsidRDefault="00624990" w:rsidP="0089654E">
      <w:r>
        <w:separator/>
      </w:r>
    </w:p>
  </w:footnote>
  <w:footnote w:type="continuationSeparator" w:id="1">
    <w:p w:rsidR="00624990" w:rsidRDefault="00624990" w:rsidP="00896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9" w:rsidRDefault="005C7839" w:rsidP="005C783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9" w:rsidRDefault="005C7839" w:rsidP="005C783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F592A"/>
    <w:multiLevelType w:val="multilevel"/>
    <w:tmpl w:val="62245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018"/>
    <w:rsid w:val="00087A64"/>
    <w:rsid w:val="000C09EA"/>
    <w:rsid w:val="00131937"/>
    <w:rsid w:val="001360BF"/>
    <w:rsid w:val="001646A4"/>
    <w:rsid w:val="00195D2C"/>
    <w:rsid w:val="001B2395"/>
    <w:rsid w:val="001F532E"/>
    <w:rsid w:val="00211223"/>
    <w:rsid w:val="00270242"/>
    <w:rsid w:val="002B5BBA"/>
    <w:rsid w:val="002C0C37"/>
    <w:rsid w:val="002D071C"/>
    <w:rsid w:val="002F7A34"/>
    <w:rsid w:val="00444FB2"/>
    <w:rsid w:val="004941A3"/>
    <w:rsid w:val="00536721"/>
    <w:rsid w:val="005431F2"/>
    <w:rsid w:val="005B393A"/>
    <w:rsid w:val="005C7839"/>
    <w:rsid w:val="005D3F6E"/>
    <w:rsid w:val="00623D0B"/>
    <w:rsid w:val="00624990"/>
    <w:rsid w:val="00643E5F"/>
    <w:rsid w:val="00651DA1"/>
    <w:rsid w:val="006A08E6"/>
    <w:rsid w:val="006F4A3E"/>
    <w:rsid w:val="00755A86"/>
    <w:rsid w:val="0076257D"/>
    <w:rsid w:val="007653CF"/>
    <w:rsid w:val="00772917"/>
    <w:rsid w:val="00780539"/>
    <w:rsid w:val="007D134A"/>
    <w:rsid w:val="008243DA"/>
    <w:rsid w:val="00830646"/>
    <w:rsid w:val="0086194C"/>
    <w:rsid w:val="0089654E"/>
    <w:rsid w:val="008B1178"/>
    <w:rsid w:val="008B15DB"/>
    <w:rsid w:val="0098257D"/>
    <w:rsid w:val="009A1122"/>
    <w:rsid w:val="009A76AD"/>
    <w:rsid w:val="00A12D01"/>
    <w:rsid w:val="00A6122A"/>
    <w:rsid w:val="00A72F0E"/>
    <w:rsid w:val="00AA37A6"/>
    <w:rsid w:val="00AC52EA"/>
    <w:rsid w:val="00AC7FC9"/>
    <w:rsid w:val="00AE0A4F"/>
    <w:rsid w:val="00B25AA8"/>
    <w:rsid w:val="00B54D5F"/>
    <w:rsid w:val="00BB4D43"/>
    <w:rsid w:val="00BC1CF3"/>
    <w:rsid w:val="00BD4398"/>
    <w:rsid w:val="00C274A0"/>
    <w:rsid w:val="00C37ACA"/>
    <w:rsid w:val="00D077A8"/>
    <w:rsid w:val="00D509F5"/>
    <w:rsid w:val="00D53132"/>
    <w:rsid w:val="00D77D1D"/>
    <w:rsid w:val="00D8293A"/>
    <w:rsid w:val="00E40D71"/>
    <w:rsid w:val="00E5087E"/>
    <w:rsid w:val="00E55FA1"/>
    <w:rsid w:val="00EC48B8"/>
    <w:rsid w:val="00ED31A0"/>
    <w:rsid w:val="00F165EB"/>
    <w:rsid w:val="00F501C2"/>
    <w:rsid w:val="00F94018"/>
    <w:rsid w:val="00FC079D"/>
    <w:rsid w:val="00FF685B"/>
    <w:rsid w:val="2FBD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3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A3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A37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37A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37A6"/>
    <w:pPr>
      <w:ind w:firstLineChars="200" w:firstLine="420"/>
    </w:pPr>
  </w:style>
  <w:style w:type="paragraph" w:styleId="a5">
    <w:name w:val="List Paragraph"/>
    <w:basedOn w:val="a"/>
    <w:uiPriority w:val="34"/>
    <w:qFormat/>
    <w:rsid w:val="00B25A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55F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5FA1"/>
    <w:rPr>
      <w:kern w:val="2"/>
      <w:sz w:val="18"/>
      <w:szCs w:val="18"/>
    </w:rPr>
  </w:style>
  <w:style w:type="paragraph" w:customStyle="1" w:styleId="Default">
    <w:name w:val="Default"/>
    <w:rsid w:val="00BB4D43"/>
    <w:pPr>
      <w:widowControl w:val="0"/>
      <w:autoSpaceDE w:val="0"/>
      <w:autoSpaceDN w:val="0"/>
      <w:adjustRightInd w:val="0"/>
    </w:pPr>
    <w:rPr>
      <w:rFonts w:ascii="宋体]擦..杝." w:eastAsia="宋体]擦..杝." w:cs="宋体]擦..杝.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8257D"/>
    <w:rPr>
      <w:color w:val="0000FF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5C783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5C7839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5C78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30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2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56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ike.baidu.com/item/%E8%82%A1%E7%A5%A8%E8%A1%8C%E6%83%85" TargetMode="External"/><Relationship Id="rId18" Type="http://schemas.openxmlformats.org/officeDocument/2006/relationships/hyperlink" Target="http://baike.baidu.com/item/%E6%94%B6%E7%9B%98%E4%BB%B7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baike.baidu.com/item/%E9%80%81%E8%82%A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ike.baidu.com/item/%E8%82%A1%E6%9C%AC" TargetMode="External"/><Relationship Id="rId17" Type="http://schemas.openxmlformats.org/officeDocument/2006/relationships/hyperlink" Target="http://baike.baidu.com/item/%E7%99%BB%E8%AE%B0%E6%97%A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aike.baidu.com/item/%E5%A4%8D%E6%9D%83%E4%BB%B7%E6%A0%BC" TargetMode="External"/><Relationship Id="rId20" Type="http://schemas.openxmlformats.org/officeDocument/2006/relationships/hyperlink" Target="http://baike.baidu.com/item/%E6%B4%BE%E6%81%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item/%E8%B5%B0%E5%8A%BF%E5%9B%BE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baike.baidu.com/item/%E6%B6%A8%E8%B7%8C%E5%B9%85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aike.baidu.com/item/%E6%88%90%E4%BA%A4%E9%87%8F" TargetMode="External"/><Relationship Id="rId19" Type="http://schemas.openxmlformats.org/officeDocument/2006/relationships/hyperlink" Target="http://baike.baidu.com/item/%E9%85%8D%E8%82%A1%E4%BB%B7" TargetMode="External"/><Relationship Id="rId4" Type="http://schemas.openxmlformats.org/officeDocument/2006/relationships/styles" Target="styles.xml"/><Relationship Id="rId9" Type="http://schemas.openxmlformats.org/officeDocument/2006/relationships/hyperlink" Target="http://baike.baidu.com/item/%E8%82%A1%E4%BB%B7" TargetMode="External"/><Relationship Id="rId14" Type="http://schemas.openxmlformats.org/officeDocument/2006/relationships/hyperlink" Target="http://baike.baidu.com/item/%E9%99%A4%E6%9D%8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588658-F59D-4B4D-BCD8-717C55E54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njcb</dc:creator>
  <cp:lastModifiedBy>njcb</cp:lastModifiedBy>
  <cp:revision>19</cp:revision>
  <cp:lastPrinted>2017-06-22T07:53:00Z</cp:lastPrinted>
  <dcterms:created xsi:type="dcterms:W3CDTF">2017-06-21T07:32:00Z</dcterms:created>
  <dcterms:modified xsi:type="dcterms:W3CDTF">2017-07-14T01:57:00Z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