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BB3E3E">
        <w:rPr>
          <w:rFonts w:ascii="彩虹黑体" w:eastAsia="彩虹黑体" w:hAnsi="宋体" w:hint="eastAsia"/>
          <w:b/>
          <w:sz w:val="32"/>
          <w:szCs w:val="32"/>
        </w:rPr>
        <w:t>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7C0111">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BB3E3E">
              <w:rPr>
                <w:rFonts w:hint="eastAsia"/>
                <w:color w:val="000000"/>
                <w:sz w:val="18"/>
                <w:szCs w:val="18"/>
              </w:rPr>
              <w:t>8</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r w:rsidR="00E86715">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BB3E3E">
            <w:pPr>
              <w:rPr>
                <w:color w:val="000000"/>
                <w:sz w:val="18"/>
                <w:szCs w:val="18"/>
              </w:rPr>
            </w:pPr>
            <w:r>
              <w:rPr>
                <w:rFonts w:hint="eastAsia"/>
                <w:color w:val="000000"/>
                <w:sz w:val="18"/>
                <w:szCs w:val="18"/>
              </w:rPr>
              <w:t>210009201</w:t>
            </w:r>
            <w:r w:rsidR="00827328">
              <w:rPr>
                <w:rFonts w:hint="eastAsia"/>
                <w:color w:val="000000"/>
                <w:sz w:val="18"/>
                <w:szCs w:val="18"/>
              </w:rPr>
              <w:t>9</w:t>
            </w:r>
            <w:r w:rsidR="00BB3E3E">
              <w:rPr>
                <w:rFonts w:hint="eastAsia"/>
                <w:color w:val="000000"/>
                <w:sz w:val="18"/>
                <w:szCs w:val="18"/>
              </w:rPr>
              <w:t>180</w:t>
            </w:r>
            <w:r w:rsidR="00E86715">
              <w:rPr>
                <w:rFonts w:hint="eastAsia"/>
                <w:color w:val="000000"/>
                <w:sz w:val="18"/>
                <w:szCs w:val="18"/>
              </w:rPr>
              <w:t>5</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E86715" w:rsidP="00D84009">
            <w:pPr>
              <w:rPr>
                <w:rFonts w:ascii="宋体" w:hAnsi="宋体" w:cs="宋体"/>
                <w:color w:val="000000"/>
                <w:sz w:val="18"/>
                <w:szCs w:val="18"/>
              </w:rPr>
            </w:pPr>
            <w:r>
              <w:rPr>
                <w:rFonts w:hint="eastAsia"/>
                <w:color w:val="000000"/>
                <w:sz w:val="18"/>
                <w:szCs w:val="18"/>
              </w:rPr>
              <w:t>1</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BB3E3E">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BB3E3E">
              <w:rPr>
                <w:rFonts w:hint="eastAsia"/>
                <w:color w:val="000000"/>
                <w:sz w:val="18"/>
                <w:szCs w:val="18"/>
              </w:rPr>
              <w:t>5</w:t>
            </w:r>
            <w:r w:rsidR="00EC5E67" w:rsidRPr="0052487B">
              <w:rPr>
                <w:rFonts w:hint="eastAsia"/>
                <w:color w:val="000000"/>
                <w:sz w:val="18"/>
                <w:szCs w:val="18"/>
              </w:rPr>
              <w:t>月</w:t>
            </w:r>
            <w:r w:rsidR="00BB3E3E">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BB3E3E">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BB3E3E">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E86715">
            <w:pPr>
              <w:rPr>
                <w:color w:val="000000"/>
                <w:sz w:val="18"/>
                <w:szCs w:val="18"/>
              </w:rPr>
            </w:pPr>
            <w:r>
              <w:rPr>
                <w:rFonts w:hint="eastAsia"/>
                <w:color w:val="000000"/>
                <w:sz w:val="18"/>
                <w:szCs w:val="18"/>
              </w:rPr>
              <w:t>2.</w:t>
            </w:r>
            <w:r w:rsidR="00E86715">
              <w:rPr>
                <w:rFonts w:hint="eastAsia"/>
                <w:color w:val="000000"/>
                <w:sz w:val="18"/>
                <w:szCs w:val="18"/>
              </w:rPr>
              <w:t>175</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BB3E3E">
        <w:rPr>
          <w:rFonts w:hint="eastAsia"/>
          <w:b/>
          <w:szCs w:val="21"/>
        </w:rPr>
        <w:t>5</w:t>
      </w:r>
      <w:r w:rsidR="00122EF8" w:rsidRPr="0052487B">
        <w:rPr>
          <w:rFonts w:hint="eastAsia"/>
          <w:b/>
          <w:szCs w:val="21"/>
        </w:rPr>
        <w:t>月</w:t>
      </w:r>
      <w:r w:rsidR="00BB3E3E">
        <w:rPr>
          <w:rFonts w:hint="eastAsia"/>
          <w:b/>
          <w:szCs w:val="21"/>
        </w:rPr>
        <w:t>7</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BCC" w:rsidRDefault="00F82BCC" w:rsidP="002A4540">
      <w:r>
        <w:separator/>
      </w:r>
    </w:p>
  </w:endnote>
  <w:endnote w:type="continuationSeparator" w:id="1">
    <w:p w:rsidR="00F82BCC" w:rsidRDefault="00F82BCC"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BCC" w:rsidRDefault="00F82BCC" w:rsidP="002A4540">
      <w:r>
        <w:separator/>
      </w:r>
    </w:p>
  </w:footnote>
  <w:footnote w:type="continuationSeparator" w:id="1">
    <w:p w:rsidR="00F82BCC" w:rsidRDefault="00F82BCC"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4951"/>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142F"/>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86715"/>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2BCC"/>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4</cp:revision>
  <cp:lastPrinted>2016-04-12T02:51:00Z</cp:lastPrinted>
  <dcterms:created xsi:type="dcterms:W3CDTF">2019-05-07T07:45:00Z</dcterms:created>
  <dcterms:modified xsi:type="dcterms:W3CDTF">2019-05-07T07:46:00Z</dcterms:modified>
</cp:coreProperties>
</file>