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G6GJ79VA06HGRZR8QLJM7NL0OSVREJ0XOJD7XFM8TQ5T60BJKC0CFY9HP88RAXM6OOZ8ZI7D8MJJQSFTQF8Q8RMMWOLBAOODRHB3254C7527F199D05BC2884EFCEE99AA13" Type="http://schemas.microsoft.com/office/2006/relationships/officeDocumentMain" Target="NULL"/><Relationship Id="DPWFY6GQ796Q0T9G9GRNYL0Y7ZQ0OXVRQO0XOJD8XGPRTECTZ6BRRCJUFY5HPC8RXFMX5OZFZIXD8HEJRUFT0FFZ8RF0WOLB8UOOKHB3560B8A2D77E34D4D5F63B51BD4576958"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00"/>
          <w:tab w:val="center" w:pos="4153"/>
        </w:tabs>
        <w:spacing w:line="400" w:lineRule="exact"/>
        <w:jc w:val="center"/>
        <w:rPr>
          <w:rFonts w:ascii="彩虹黑体" w:hAnsi="宋体" w:eastAsia="彩虹黑体"/>
          <w:b/>
          <w:sz w:val="32"/>
          <w:szCs w:val="32"/>
        </w:rPr>
      </w:pPr>
      <w:r>
        <w:rPr>
          <w:rFonts w:hint="eastAsia" w:ascii="彩虹黑体" w:hAnsi="宋体" w:eastAsia="彩虹黑体"/>
          <w:b/>
          <w:sz w:val="32"/>
          <w:szCs w:val="32"/>
        </w:rPr>
        <w:t>南京银行</w:t>
      </w:r>
      <w:bookmarkStart w:id="0" w:name="OLE_LINK1"/>
      <w:bookmarkStart w:id="1" w:name="OLE_LINK2"/>
      <w:r>
        <w:rPr>
          <w:rFonts w:hint="eastAsia" w:ascii="彩虹黑体" w:hAnsi="宋体" w:eastAsia="彩虹黑体"/>
          <w:b/>
          <w:sz w:val="32"/>
          <w:szCs w:val="32"/>
        </w:rPr>
        <w:t>单位大额存单</w:t>
      </w:r>
    </w:p>
    <w:p>
      <w:pPr>
        <w:tabs>
          <w:tab w:val="left" w:pos="2400"/>
          <w:tab w:val="center" w:pos="4153"/>
        </w:tabs>
        <w:spacing w:line="400" w:lineRule="exact"/>
        <w:jc w:val="center"/>
        <w:rPr>
          <w:rFonts w:ascii="彩虹黑体" w:hAnsi="宋体" w:eastAsia="彩虹黑体"/>
          <w:b/>
          <w:sz w:val="32"/>
          <w:szCs w:val="32"/>
        </w:rPr>
      </w:pPr>
      <w:r>
        <w:rPr>
          <w:rFonts w:hint="eastAsia" w:ascii="彩虹黑体" w:hAnsi="宋体" w:eastAsia="彩虹黑体"/>
          <w:b/>
          <w:sz w:val="32"/>
          <w:szCs w:val="32"/>
        </w:rPr>
        <w:t>2019年第</w:t>
      </w:r>
      <w:r>
        <w:rPr>
          <w:rFonts w:hint="eastAsia" w:ascii="彩虹黑体" w:hAnsi="宋体" w:eastAsia="彩虹黑体"/>
          <w:b/>
          <w:sz w:val="32"/>
          <w:szCs w:val="32"/>
          <w:lang w:val="en-US" w:eastAsia="zh-CN"/>
        </w:rPr>
        <w:t>25</w:t>
      </w:r>
      <w:r>
        <w:rPr>
          <w:rFonts w:hint="eastAsia" w:ascii="彩虹黑体" w:hAnsi="宋体" w:eastAsia="彩虹黑体"/>
          <w:b/>
          <w:sz w:val="32"/>
          <w:szCs w:val="32"/>
        </w:rPr>
        <w:t>期产品说明书</w:t>
      </w:r>
      <w:bookmarkEnd w:id="0"/>
      <w:bookmarkEnd w:id="1"/>
    </w:p>
    <w:p>
      <w:pPr>
        <w:numPr>
          <w:ilvl w:val="0"/>
          <w:numId w:val="1"/>
        </w:num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产品要素</w:t>
      </w:r>
    </w:p>
    <w:tbl>
      <w:tblPr>
        <w:tblStyle w:val="6"/>
        <w:tblW w:w="8528" w:type="dxa"/>
        <w:tblInd w:w="0" w:type="dxa"/>
        <w:tblLayout w:type="fixed"/>
        <w:tblCellMar>
          <w:top w:w="0" w:type="dxa"/>
          <w:left w:w="108" w:type="dxa"/>
          <w:bottom w:w="0" w:type="dxa"/>
          <w:right w:w="108" w:type="dxa"/>
        </w:tblCellMar>
      </w:tblPr>
      <w:tblGrid>
        <w:gridCol w:w="2376"/>
        <w:gridCol w:w="6152"/>
      </w:tblGrid>
      <w:tr>
        <w:tblPrEx>
          <w:tblLayout w:type="fixed"/>
          <w:tblCellMar>
            <w:top w:w="0" w:type="dxa"/>
            <w:left w:w="108" w:type="dxa"/>
            <w:bottom w:w="0" w:type="dxa"/>
            <w:right w:w="108" w:type="dxa"/>
          </w:tblCellMar>
        </w:tblPrEx>
        <w:trPr>
          <w:trHeight w:val="315" w:hRule="atLeast"/>
        </w:trPr>
        <w:tc>
          <w:tcPr>
            <w:tcW w:w="2376" w:type="dxa"/>
            <w:tcBorders>
              <w:top w:val="single" w:color="auto" w:sz="12" w:space="0"/>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产品名称</w:t>
            </w:r>
          </w:p>
        </w:tc>
        <w:tc>
          <w:tcPr>
            <w:tcW w:w="6152" w:type="dxa"/>
            <w:tcBorders>
              <w:top w:val="single" w:color="auto" w:sz="12" w:space="0"/>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单位大额存单2019年第</w:t>
            </w:r>
            <w:r>
              <w:rPr>
                <w:rFonts w:hint="eastAsia"/>
                <w:color w:val="000000"/>
                <w:sz w:val="18"/>
                <w:szCs w:val="18"/>
                <w:lang w:val="en-US" w:eastAsia="zh-CN"/>
              </w:rPr>
              <w:t>25</w:t>
            </w:r>
            <w:r>
              <w:rPr>
                <w:rFonts w:hint="eastAsia"/>
                <w:color w:val="000000"/>
                <w:sz w:val="18"/>
                <w:szCs w:val="18"/>
              </w:rPr>
              <w:t>期</w:t>
            </w:r>
            <w:r>
              <w:rPr>
                <w:rFonts w:hint="eastAsia"/>
                <w:color w:val="000000"/>
                <w:sz w:val="18"/>
                <w:szCs w:val="18"/>
                <w:lang w:val="en-US" w:eastAsia="zh-CN"/>
              </w:rPr>
              <w:t>3</w:t>
            </w:r>
            <w:r>
              <w:rPr>
                <w:rFonts w:hint="eastAsia"/>
                <w:color w:val="000000"/>
                <w:sz w:val="18"/>
                <w:szCs w:val="18"/>
              </w:rPr>
              <w:t>年</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产品编号</w:t>
            </w:r>
          </w:p>
        </w:tc>
        <w:tc>
          <w:tcPr>
            <w:tcW w:w="6152" w:type="dxa"/>
            <w:tcBorders>
              <w:top w:val="nil"/>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2100092019</w:t>
            </w:r>
            <w:r>
              <w:rPr>
                <w:rFonts w:hint="eastAsia"/>
                <w:color w:val="000000"/>
                <w:sz w:val="18"/>
                <w:szCs w:val="18"/>
                <w:lang w:val="en-US" w:eastAsia="zh-CN"/>
              </w:rPr>
              <w:t>25</w:t>
            </w:r>
            <w:r>
              <w:rPr>
                <w:rFonts w:hint="eastAsia"/>
                <w:color w:val="000000"/>
                <w:sz w:val="18"/>
                <w:szCs w:val="18"/>
              </w:rPr>
              <w:t>01</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发售对象</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非金融企业、机关团体以及中国人民银行认可的其他单位</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币种</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本金币种：人民币；利息币种：人民币</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发行规模</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亿元</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发行渠道</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网点柜面</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存单期限</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lang w:val="en-US" w:eastAsia="zh-CN"/>
              </w:rPr>
              <w:t>3</w:t>
            </w:r>
            <w:r>
              <w:rPr>
                <w:rFonts w:hint="eastAsia"/>
                <w:color w:val="000000"/>
                <w:sz w:val="18"/>
                <w:szCs w:val="18"/>
              </w:rPr>
              <w:t>年</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发行时间</w:t>
            </w:r>
          </w:p>
          <w:p>
            <w:pPr>
              <w:jc w:val="center"/>
              <w:rPr>
                <w:rFonts w:ascii="宋体" w:hAnsi="宋体" w:cs="宋体"/>
                <w:color w:val="000000"/>
                <w:sz w:val="18"/>
                <w:szCs w:val="18"/>
              </w:rPr>
            </w:pPr>
            <w:r>
              <w:rPr>
                <w:rFonts w:hint="eastAsia"/>
                <w:color w:val="000000"/>
                <w:sz w:val="18"/>
                <w:szCs w:val="18"/>
              </w:rPr>
              <w:t>（认购期）</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2019年</w:t>
            </w:r>
            <w:r>
              <w:rPr>
                <w:rFonts w:hint="eastAsia"/>
                <w:color w:val="000000"/>
                <w:sz w:val="18"/>
                <w:szCs w:val="18"/>
                <w:lang w:val="en-US" w:eastAsia="zh-CN"/>
              </w:rPr>
              <w:t>6</w:t>
            </w:r>
            <w:r>
              <w:rPr>
                <w:rFonts w:hint="eastAsia"/>
                <w:color w:val="000000"/>
                <w:sz w:val="18"/>
                <w:szCs w:val="18"/>
              </w:rPr>
              <w:t>月</w:t>
            </w:r>
            <w:r>
              <w:rPr>
                <w:rFonts w:hint="eastAsia"/>
                <w:color w:val="000000"/>
                <w:sz w:val="18"/>
                <w:szCs w:val="18"/>
                <w:lang w:val="en-US" w:eastAsia="zh-CN"/>
              </w:rPr>
              <w:t>25</w:t>
            </w:r>
            <w:r>
              <w:rPr>
                <w:rFonts w:hint="eastAsia"/>
                <w:color w:val="000000"/>
                <w:sz w:val="18"/>
                <w:szCs w:val="18"/>
              </w:rPr>
              <w:t>日——2019年</w:t>
            </w:r>
            <w:r>
              <w:rPr>
                <w:rFonts w:hint="eastAsia"/>
                <w:color w:val="000000"/>
                <w:sz w:val="18"/>
                <w:szCs w:val="18"/>
                <w:lang w:val="en-US" w:eastAsia="zh-CN"/>
              </w:rPr>
              <w:t>7</w:t>
            </w:r>
            <w:r>
              <w:rPr>
                <w:rFonts w:hint="eastAsia"/>
                <w:color w:val="000000"/>
                <w:sz w:val="18"/>
                <w:szCs w:val="18"/>
              </w:rPr>
              <w:t>月31日</w:t>
            </w:r>
            <w:r>
              <w:rPr>
                <w:color w:val="000000"/>
                <w:sz w:val="18"/>
                <w:szCs w:val="18"/>
              </w:rPr>
              <w:br w:type="textWrapping"/>
            </w:r>
            <w:r>
              <w:rPr>
                <w:rFonts w:hint="eastAsia"/>
                <w:color w:val="000000"/>
                <w:sz w:val="18"/>
                <w:szCs w:val="18"/>
              </w:rPr>
              <w:t>（认购期内如遇人行存款利率调整则提前终止发行）</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认购起点金额</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1000万元</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最小递增单位</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1万元</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年利率</w:t>
            </w:r>
          </w:p>
        </w:tc>
        <w:tc>
          <w:tcPr>
            <w:tcW w:w="6152" w:type="dxa"/>
            <w:tcBorders>
              <w:top w:val="nil"/>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lang w:val="en-US" w:eastAsia="zh-CN"/>
              </w:rPr>
              <w:t>4.1</w:t>
            </w:r>
            <w:r>
              <w:rPr>
                <w:rFonts w:hint="eastAsia"/>
                <w:color w:val="000000"/>
                <w:sz w:val="18"/>
                <w:szCs w:val="18"/>
              </w:rPr>
              <w:t>8%</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计息类型</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固定利率</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计息规则</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到期兑付利息＝存单面值×年利率/360×实际天数(实际持有天数包含认购日当日，但不含到期日当日)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付息方式</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highlight w:val="yellow"/>
              </w:rPr>
            </w:pPr>
            <w:r>
              <w:rPr>
                <w:rFonts w:hint="eastAsia" w:ascii="宋体" w:hAnsi="宋体"/>
                <w:bCs/>
                <w:sz w:val="18"/>
                <w:szCs w:val="18"/>
              </w:rPr>
              <w:t>到期一次性还本付息</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起息日</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购买成功当日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到期日</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起息日起满</w:t>
            </w:r>
            <w:r>
              <w:rPr>
                <w:rFonts w:hint="eastAsia"/>
                <w:color w:val="000000"/>
                <w:sz w:val="18"/>
                <w:szCs w:val="18"/>
                <w:lang w:val="en-US" w:eastAsia="zh-CN"/>
              </w:rPr>
              <w:t>3</w:t>
            </w:r>
            <w:r>
              <w:rPr>
                <w:rFonts w:hint="eastAsia"/>
                <w:color w:val="000000"/>
                <w:sz w:val="18"/>
                <w:szCs w:val="18"/>
              </w:rPr>
              <w:t>年，对年对月对日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兑付日</w:t>
            </w:r>
          </w:p>
        </w:tc>
        <w:tc>
          <w:tcPr>
            <w:tcW w:w="6152" w:type="dxa"/>
            <w:tcBorders>
              <w:top w:val="nil"/>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到期日当日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提前支取</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允许全额或多次部分提前支取，支取部分为万元整数倍，最低1万元，部分提前支取后的本金余额不能低于本期产品的认购起点金额</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特殊业务</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可办理质押、时段资金证明、行内全额转让</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存单凭证</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本存单一般采用电子化发行方式，可提供大额存单持有证明；</w:t>
            </w:r>
          </w:p>
          <w:p>
            <w:pPr>
              <w:rPr>
                <w:rFonts w:ascii="宋体" w:hAnsi="宋体"/>
                <w:bCs/>
                <w:sz w:val="18"/>
                <w:szCs w:val="18"/>
              </w:rPr>
            </w:pPr>
            <w:r>
              <w:rPr>
                <w:rFonts w:hint="eastAsia" w:ascii="宋体" w:hAnsi="宋体"/>
                <w:bCs/>
                <w:sz w:val="18"/>
                <w:szCs w:val="18"/>
              </w:rPr>
              <w:t>同时支持补打纸质开户证实书，具体流程按照本说明书要求办理，补打后不支持行内全额转让。</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12"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税款</w:t>
            </w:r>
          </w:p>
        </w:tc>
        <w:tc>
          <w:tcPr>
            <w:tcW w:w="6152" w:type="dxa"/>
            <w:tcBorders>
              <w:top w:val="nil"/>
              <w:left w:val="nil"/>
              <w:bottom w:val="single" w:color="auto" w:sz="12"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如国家征收利息税，南京银行将按国家有关规章制度执行</w:t>
            </w:r>
          </w:p>
        </w:tc>
      </w:tr>
    </w:tbl>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二、认购</w:t>
      </w:r>
    </w:p>
    <w:p>
      <w:pPr>
        <w:autoSpaceDE w:val="0"/>
        <w:autoSpaceDN w:val="0"/>
        <w:adjustRightInd w:val="0"/>
        <w:snapToGrid w:val="0"/>
        <w:spacing w:before="120"/>
        <w:ind w:firstLine="360" w:firstLineChars="200"/>
        <w:jc w:val="left"/>
        <w:rPr>
          <w:rFonts w:ascii="宋体" w:hAnsi="宋体" w:cs="黑体"/>
          <w:kern w:val="0"/>
          <w:sz w:val="18"/>
          <w:szCs w:val="18"/>
        </w:rPr>
      </w:pPr>
      <w:r>
        <w:rPr>
          <w:rFonts w:hint="eastAsia" w:ascii="宋体" w:hAnsi="宋体" w:cs="黑体"/>
          <w:kern w:val="0"/>
          <w:sz w:val="18"/>
          <w:szCs w:val="18"/>
        </w:rPr>
        <w:t>客户须在我行开立结算账户（临时结算账户有效期应不短于本产品期限）。客户向本行提交加盖单位预留银行印鉴的《单位大额存单业务申请书》后办理认购。</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三、到期本息兑付</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单位大额存单到期当日，我行将存单本金及全部利息划转至客户认购本期大额存单的结算账户中。</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因办理资金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四、提前支取</w:t>
      </w:r>
    </w:p>
    <w:p>
      <w:pPr>
        <w:autoSpaceDE w:val="0"/>
        <w:autoSpaceDN w:val="0"/>
        <w:adjustRightInd w:val="0"/>
        <w:snapToGrid w:val="0"/>
        <w:spacing w:before="120"/>
        <w:ind w:firstLine="360" w:firstLineChars="200"/>
        <w:jc w:val="left"/>
        <w:rPr>
          <w:rFonts w:ascii="宋体" w:hAnsi="宋体"/>
          <w:bCs/>
          <w:sz w:val="18"/>
          <w:szCs w:val="18"/>
        </w:rPr>
      </w:pPr>
      <w:r>
        <w:rPr>
          <w:rFonts w:hint="eastAsia" w:ascii="宋体" w:hAnsi="宋体"/>
          <w:bCs/>
          <w:sz w:val="18"/>
          <w:szCs w:val="18"/>
        </w:rPr>
        <w:t>客户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pPr>
        <w:autoSpaceDE w:val="0"/>
        <w:autoSpaceDN w:val="0"/>
        <w:adjustRightInd w:val="0"/>
        <w:snapToGrid w:val="0"/>
        <w:spacing w:before="120"/>
        <w:ind w:firstLine="360" w:firstLineChars="200"/>
        <w:jc w:val="left"/>
        <w:rPr>
          <w:rFonts w:ascii="宋体" w:hAnsi="宋体"/>
          <w:bCs/>
          <w:sz w:val="18"/>
          <w:szCs w:val="18"/>
        </w:rPr>
      </w:pPr>
      <w:r>
        <w:rPr>
          <w:rFonts w:hint="eastAsia" w:ascii="宋体" w:hAnsi="宋体"/>
          <w:bCs/>
          <w:sz w:val="18"/>
          <w:szCs w:val="18"/>
        </w:rPr>
        <w:t>因办理资金证明冻结、司法冻结等业务导致状态异常的大额存单不可提前支取；已办理质押贷款的大额存单不可提前支取（用于归还贷款本息的提前支取除外）。</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五、利息收益说明</w:t>
      </w:r>
    </w:p>
    <w:p>
      <w:pPr>
        <w:autoSpaceDE w:val="0"/>
        <w:autoSpaceDN w:val="0"/>
        <w:adjustRightInd w:val="0"/>
        <w:snapToGrid w:val="0"/>
        <w:spacing w:before="120"/>
        <w:ind w:firstLine="360" w:firstLineChars="200"/>
        <w:jc w:val="left"/>
        <w:rPr>
          <w:rFonts w:ascii="宋体" w:hAnsi="宋体"/>
          <w:bCs/>
          <w:sz w:val="18"/>
          <w:szCs w:val="18"/>
        </w:rPr>
      </w:pPr>
      <w:r>
        <w:rPr>
          <w:rFonts w:hint="eastAsia" w:ascii="宋体" w:hAnsi="宋体"/>
          <w:bCs/>
          <w:sz w:val="18"/>
          <w:szCs w:val="18"/>
        </w:rPr>
        <w:t>产品自客户认购之日（认购日以业务成功办理之日为准）起计息。客户持有到期，南京银行保证本金兑付并按票面利率支付利息。</w:t>
      </w:r>
    </w:p>
    <w:p>
      <w:pPr>
        <w:autoSpaceDE w:val="0"/>
        <w:autoSpaceDN w:val="0"/>
        <w:adjustRightInd w:val="0"/>
        <w:spacing w:before="120"/>
        <w:ind w:firstLine="360" w:firstLineChars="200"/>
        <w:jc w:val="left"/>
        <w:rPr>
          <w:rFonts w:ascii="黑体" w:eastAsia="黑体" w:cs="黑体"/>
          <w:b/>
          <w:kern w:val="0"/>
          <w:szCs w:val="21"/>
        </w:rPr>
      </w:pPr>
      <w:r>
        <w:rPr>
          <w:rFonts w:hint="eastAsia"/>
          <w:color w:val="000000"/>
          <w:sz w:val="18"/>
          <w:szCs w:val="18"/>
        </w:rPr>
        <w:t>如客户提前支取，提前支取部分存款“根据实际存期、向下靠最近一档普通定期存款产品央行基准利率上浮30%”给付利息（最低靠档3个月定期存款，不支持靠档通知存款）。靠档定期存款，全存期按照存入日央行相应期限基准利率上浮30%计息。提前支取后剩余部分仍遵从原存单计息规则。</w:t>
      </w:r>
    </w:p>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六、 查询</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法人或经办人可持有效身份证原件前往南京银行营业网点进行查询。</w:t>
      </w:r>
    </w:p>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七、 补打纸质开户证实书</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本期产品采用电子化存单，客户可在完成认购交易后选择补打开户证实书。客户选择补打开户证实书的，需持大额存单持有证明、印鉴章、经办人身份证、加盖单位公章的授权书至南京银行营业网点办理补打业务。</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补打开户证实书后大额存单到期不能自动兑付。若大额存单到期，客户需持印鉴章、经办人身份证、纸质开户证实书、加盖单位公章的授权书至南京银行营业网点进行兑付，到期日之后的逾期时段按照实际兑付日南京银行挂牌活期存款利率计息。</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补打开户证实书后，客户需办理提前支取业务的，需持印鉴章、经办人身份证、纸质开户证实书、加盖单位公章的授权书至南京银行营业网点办理提前支取业务。</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八、特殊业务办理</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客户可根据需要办理质押，开立资金证明业务，具体事宜按照南京银行相应业务要求办理。</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九、大额存单转让</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客户可向在我行开立单位结算户的对公客户转让其所持有的单位大额存单（仅限于全额转让，不能部分转让），转让价格由双方自行决定。因办理资金证明冻结、质押、司法冻结等业务导致状态异常的大额存单不可进行转让。</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若客户已换开纸质存单，该纸质存单不可行内全额转让。</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办理大额存单柜面转让时，出让方与受让方经办人均须持实名制有效身份证件原件、大额存单持有证明（仅需出让方提供）、印鉴章、加盖单位公章的授权书前往南京银行营业网点办理转让，并填写《南京银行股份有限公司单位大额存单转让交易确认书》（以下简称“转让交易确认书”），在转让交易确认书上加盖单位印鉴章确认，即表示双方已全部知晓并充分理解、同意按照该转让交易确认书中的要求办理转让手续。</w:t>
      </w:r>
    </w:p>
    <w:p>
      <w:pPr>
        <w:snapToGrid w:val="0"/>
        <w:rPr>
          <w:b/>
          <w:szCs w:val="21"/>
        </w:rPr>
      </w:pPr>
    </w:p>
    <w:p>
      <w:pPr>
        <w:snapToGrid w:val="0"/>
        <w:rPr>
          <w:b/>
          <w:szCs w:val="21"/>
        </w:rPr>
      </w:pPr>
    </w:p>
    <w:p>
      <w:pPr>
        <w:snapToGrid w:val="0"/>
        <w:rPr>
          <w:b/>
          <w:szCs w:val="21"/>
        </w:rPr>
      </w:pPr>
      <w:r>
        <w:rPr>
          <w:rFonts w:hint="eastAsia"/>
          <w:b/>
          <w:szCs w:val="21"/>
        </w:rPr>
        <w:t>特别提示：</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本《南京银行单位大额存单产品说明书》与《南京银行单位大额存单业务申请书》共同规范客户与南京银行之间的权利义务关系，两者为不可分割的部分。</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客户通过营业网点在《南京银行单位大额存单业务申请书》上加盖印鉴章确认的，即表示客户已全部知晓并充分理解、同意本产品说明书全部条款。</w:t>
      </w:r>
    </w:p>
    <w:p>
      <w:pPr>
        <w:snapToGrid w:val="0"/>
        <w:rPr>
          <w:b/>
          <w:szCs w:val="21"/>
        </w:rPr>
      </w:pPr>
    </w:p>
    <w:p>
      <w:pPr>
        <w:snapToGrid w:val="0"/>
        <w:rPr>
          <w:b/>
          <w:szCs w:val="21"/>
        </w:rPr>
      </w:pPr>
    </w:p>
    <w:p>
      <w:pPr>
        <w:snapToGrid w:val="0"/>
        <w:rPr>
          <w:b/>
          <w:szCs w:val="21"/>
        </w:rPr>
      </w:pPr>
    </w:p>
    <w:p>
      <w:pPr>
        <w:snapToGrid w:val="0"/>
        <w:rPr>
          <w:b/>
          <w:szCs w:val="21"/>
        </w:rPr>
      </w:pPr>
    </w:p>
    <w:p>
      <w:pPr>
        <w:wordWrap w:val="0"/>
        <w:snapToGrid w:val="0"/>
        <w:jc w:val="right"/>
        <w:rPr>
          <w:b/>
          <w:szCs w:val="21"/>
        </w:rPr>
      </w:pPr>
      <w:r>
        <w:rPr>
          <w:rFonts w:hint="eastAsia"/>
          <w:b/>
          <w:szCs w:val="21"/>
        </w:rPr>
        <w:t xml:space="preserve">南京银行股份有限公司  </w:t>
      </w:r>
    </w:p>
    <w:p>
      <w:pPr>
        <w:wordWrap w:val="0"/>
        <w:snapToGrid w:val="0"/>
        <w:jc w:val="right"/>
      </w:pPr>
      <w:r>
        <w:rPr>
          <w:rFonts w:hint="eastAsia"/>
          <w:b/>
          <w:szCs w:val="21"/>
        </w:rPr>
        <w:t>2019年</w:t>
      </w:r>
      <w:r>
        <w:rPr>
          <w:rFonts w:hint="eastAsia"/>
          <w:b/>
          <w:szCs w:val="21"/>
          <w:lang w:val="en-US" w:eastAsia="zh-CN"/>
        </w:rPr>
        <w:t>6</w:t>
      </w:r>
      <w:r>
        <w:rPr>
          <w:rFonts w:hint="eastAsia"/>
          <w:b/>
          <w:szCs w:val="21"/>
        </w:rPr>
        <w:t>月</w:t>
      </w:r>
      <w:r>
        <w:rPr>
          <w:rFonts w:hint="eastAsia"/>
          <w:b/>
          <w:szCs w:val="21"/>
          <w:lang w:val="en-US" w:eastAsia="zh-CN"/>
        </w:rPr>
        <w:t>24</w:t>
      </w:r>
      <w:bookmarkStart w:id="2" w:name="_GoBack"/>
      <w:bookmarkEnd w:id="2"/>
      <w:r>
        <w:rPr>
          <w:rFonts w:hint="eastAsia"/>
          <w:b/>
          <w:szCs w:val="21"/>
        </w:rPr>
        <w:t xml:space="preserve">日    </w:t>
      </w:r>
    </w:p>
    <w:sectPr>
      <w:pgSz w:w="11906" w:h="16838"/>
      <w:pgMar w:top="62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彩虹黑体">
    <w:altName w:val="Andale WT"/>
    <w:panose1 w:val="00000000000000000000"/>
    <w:charset w:val="86"/>
    <w:family w:val="script"/>
    <w:pitch w:val="default"/>
    <w:sig w:usb0="00000000" w:usb1="00000000" w:usb2="00000010" w:usb3="00000000" w:csb0="00040000" w:csb1="00000000"/>
  </w:font>
  <w:font w:name="Andale WT">
    <w:panose1 w:val="020B0502000000000004"/>
    <w:charset w:val="86"/>
    <w:family w:val="auto"/>
    <w:pitch w:val="default"/>
    <w:sig w:usb0="8300AAEF" w:usb1="E90679FF" w:usb2="00000018" w:usb3="00000000" w:csb0="601F00F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1C4"/>
    <w:multiLevelType w:val="multilevel"/>
    <w:tmpl w:val="32F801C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396"/>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14D78"/>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697"/>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 w:val="5027222A"/>
    <w:rsid w:val="76082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kern w:val="2"/>
      <w:sz w:val="18"/>
      <w:szCs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312</Words>
  <Characters>1780</Characters>
  <Lines>14</Lines>
  <Paragraphs>4</Paragraphs>
  <ScaleCrop>false</ScaleCrop>
  <LinksUpToDate>false</LinksUpToDate>
  <CharactersWithSpaces>2088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2019-01-03T10:30:00Z</dcterms:created>
  <dc:creator>傅东渔</dc:creator>
  <cp:lastModifiedBy>HMX</cp:lastModifiedBy>
  <cp:lastPrinted>2016-04-12T02:51:00Z</cp:lastPrinted>
  <dcterms:modified xsi:type="dcterms:W3CDTF">2019-06-24T02:45:54Z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