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240" w:lineRule="exact"/>
        <w:jc w:val="center"/>
        <w:rPr>
          <w:rFonts w:ascii="黑体" w:hAnsi="黑体" w:eastAsia="黑体" w:cs="宋体"/>
          <w:color w:val="3D3D3D"/>
          <w:kern w:val="0"/>
          <w:sz w:val="18"/>
          <w:szCs w:val="18"/>
        </w:rPr>
      </w:pPr>
      <w:bookmarkStart w:id="0" w:name="_Toc310770285"/>
      <w:bookmarkEnd w:id="0"/>
      <w:bookmarkStart w:id="1" w:name="_Toc310770283"/>
      <w:bookmarkEnd w:id="1"/>
      <w:bookmarkStart w:id="2" w:name="_Toc310773100"/>
      <w:bookmarkEnd w:id="2"/>
      <w:bookmarkStart w:id="3" w:name="_Toc310836822"/>
      <w:bookmarkEnd w:id="3"/>
      <w:bookmarkStart w:id="4" w:name="_Toc310836824"/>
      <w:bookmarkEnd w:id="4"/>
      <w:bookmarkStart w:id="5" w:name="_Toc310836823"/>
      <w:bookmarkEnd w:id="5"/>
      <w:bookmarkStart w:id="6" w:name="_Toc310770513"/>
      <w:bookmarkEnd w:id="6"/>
      <w:bookmarkStart w:id="7" w:name="_Toc310773098"/>
      <w:bookmarkEnd w:id="7"/>
      <w:bookmarkStart w:id="8" w:name="_Toc310243214"/>
      <w:bookmarkEnd w:id="8"/>
      <w:bookmarkStart w:id="9" w:name="_Toc310243213"/>
      <w:bookmarkEnd w:id="9"/>
      <w:bookmarkStart w:id="10" w:name="_Toc310243215"/>
      <w:bookmarkEnd w:id="10"/>
      <w:bookmarkStart w:id="11" w:name="_Toc310770511"/>
      <w:bookmarkEnd w:id="11"/>
      <w:bookmarkStart w:id="12" w:name="_Toc310770284"/>
      <w:bookmarkEnd w:id="12"/>
      <w:bookmarkStart w:id="13" w:name="_Toc310770512"/>
      <w:bookmarkEnd w:id="13"/>
      <w:bookmarkStart w:id="14" w:name="_Toc310773099"/>
      <w:bookmarkEnd w:id="14"/>
      <w:r>
        <w:rPr>
          <w:rFonts w:hint="eastAsia" w:ascii="黑体" w:hAnsi="黑体" w:eastAsia="黑体" w:cs="宋体"/>
          <w:color w:val="3D3D3D"/>
          <w:kern w:val="0"/>
          <w:sz w:val="18"/>
          <w:szCs w:val="18"/>
        </w:rPr>
        <w:t>理财产品风险揭示书</w:t>
      </w:r>
    </w:p>
    <w:p>
      <w:pPr>
        <w:spacing w:line="0" w:lineRule="atLeast"/>
        <w:jc w:val="center"/>
        <w:rPr>
          <w:rFonts w:ascii="黑体" w:hAnsi="黑体" w:eastAsia="黑体" w:cs="宋体"/>
          <w:color w:val="3D3D3D"/>
          <w:kern w:val="0"/>
          <w:sz w:val="18"/>
          <w:szCs w:val="18"/>
        </w:rPr>
      </w:pPr>
      <w:r>
        <w:rPr>
          <w:rFonts w:hint="eastAsia" w:ascii="黑体" w:hAnsi="宋体" w:eastAsia="黑体"/>
          <w:b/>
          <w:bCs/>
          <w:i/>
          <w:kern w:val="0"/>
          <w:sz w:val="24"/>
          <w:szCs w:val="15"/>
          <w:u w:val="single"/>
        </w:rPr>
        <w:t>“理财非存款、产品有风险、投资须谨慎”！</w:t>
      </w:r>
    </w:p>
    <w:p>
      <w:pPr>
        <w:widowControl/>
        <w:spacing w:line="200" w:lineRule="exact"/>
        <w:jc w:val="left"/>
        <w:rPr>
          <w:rFonts w:ascii="宋体" w:hAnsi="宋体" w:cs="宋体"/>
          <w:color w:val="3D3D3D"/>
          <w:kern w:val="0"/>
          <w:sz w:val="13"/>
          <w:szCs w:val="11"/>
        </w:rPr>
      </w:pPr>
      <w:r>
        <w:rPr>
          <w:rFonts w:hint="eastAsia" w:ascii="宋体" w:hAnsi="宋体" w:cs="宋体"/>
          <w:b/>
          <w:color w:val="3D3D3D"/>
          <w:kern w:val="0"/>
          <w:sz w:val="13"/>
          <w:szCs w:val="11"/>
        </w:rPr>
        <w:t>本理财产品是</w:t>
      </w:r>
      <w:r>
        <w:rPr>
          <w:rFonts w:hint="eastAsia" w:ascii="宋体" w:hAnsi="宋体" w:cs="宋体"/>
          <w:b/>
          <w:i/>
          <w:color w:val="3D3D3D"/>
          <w:kern w:val="0"/>
          <w:sz w:val="20"/>
          <w:szCs w:val="18"/>
          <w:u w:val="single"/>
        </w:rPr>
        <w:t>非保本浮动收益型、封闭式、固定收益类、公募</w:t>
      </w:r>
      <w:r>
        <w:rPr>
          <w:rFonts w:hint="eastAsia" w:ascii="宋体" w:hAnsi="宋体" w:cs="宋体"/>
          <w:b/>
          <w:color w:val="3D3D3D"/>
          <w:kern w:val="0"/>
          <w:sz w:val="13"/>
          <w:szCs w:val="11"/>
        </w:rPr>
        <w:t>理财产品，</w:t>
      </w:r>
      <w:r>
        <w:rPr>
          <w:rFonts w:hint="eastAsia" w:ascii="宋体" w:hAnsi="宋体" w:cs="宋体"/>
          <w:b/>
          <w:i/>
          <w:color w:val="3D3D3D"/>
          <w:kern w:val="0"/>
          <w:sz w:val="20"/>
          <w:szCs w:val="18"/>
          <w:u w:val="single"/>
        </w:rPr>
        <w:t>不保证本金和收益</w:t>
      </w:r>
      <w:r>
        <w:rPr>
          <w:rFonts w:hint="eastAsia" w:ascii="宋体" w:hAnsi="宋体" w:cs="宋体"/>
          <w:b/>
          <w:color w:val="3D3D3D"/>
          <w:kern w:val="0"/>
          <w:sz w:val="13"/>
          <w:szCs w:val="11"/>
        </w:rPr>
        <w:t>，您（以下或称为“投资者”）的本金与收益可能会蒙受重大损失，您应仔细阅读对应期次的《理财产品风险揭示书》、《理财产品说明书》、《投资者权益须知》和《理财产品销售协议》条款；本理财产品的任何业绩比较基准、过往业绩或类似表述均属不具有法律约束力的用语，不代表您可能获得的实际收益，亦不构成南京银行（以下简称为“银行”）对本理财产品的任何收益承诺，本理财产品最终收益率的实现将视市场情况等因素而定，您应该充分认识本理财产品的投资风险，本着“充分了解风险，自主选择购买”的原则，谨慎决策，自主决定将合法所有的自有资金用于购买本理财产品。在购买本理财产品后，您应随时关注产品的信息披露情况，及时获取相关信息。本风险揭示书列示的风险指理财产品项下可能涉及的风险，包括但不限于</w:t>
      </w:r>
      <w:r>
        <w:rPr>
          <w:rFonts w:hint="eastAsia" w:ascii="宋体" w:hAnsi="宋体"/>
          <w:b/>
          <w:color w:val="3D3D3D"/>
          <w:kern w:val="0"/>
          <w:sz w:val="13"/>
        </w:rPr>
        <w:t>：</w:t>
      </w:r>
    </w:p>
    <w:p>
      <w:pPr>
        <w:widowControl/>
        <w:spacing w:line="200" w:lineRule="exact"/>
        <w:ind w:firstLine="260" w:firstLineChars="200"/>
        <w:jc w:val="left"/>
        <w:rPr>
          <w:rFonts w:ascii="宋体" w:hAnsi="宋体" w:cs="宋体"/>
          <w:color w:val="3D3D3D"/>
          <w:kern w:val="0"/>
          <w:sz w:val="13"/>
          <w:szCs w:val="11"/>
        </w:rPr>
      </w:pPr>
      <w:r>
        <w:rPr>
          <w:rFonts w:hint="eastAsia" w:ascii="宋体" w:hAnsi="宋体" w:cs="宋体"/>
          <w:color w:val="3D3D3D"/>
          <w:kern w:val="0"/>
          <w:sz w:val="13"/>
          <w:szCs w:val="11"/>
        </w:rPr>
        <w:t>第一条 理财产品共性风险提示和管控措施</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一）政策风险：当期理财产品是根据当前相关法律法规、监管规定和政策设计的。理财产品在实际运作过程中，如遇到国家宏观政策和相关法律法规、监管规定发生变化，影响理财产品的发行、管理、投资运作和清算兑付等业务的正常进行，可能影响理财产品的收益降低甚至本理财产品的本金遭受损失，也可能导致本理财产品违反国家法律、法规或者其他合同的有关规定，进而导致本理财产品被宣告无效、撤销、解除或提前终止等。</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（二）信用风险：理财产品面临的信用风险主要是指因理财产品配置资产所涉及的相应的债务主体的信用风险包括但不限于其到期未能履行还款义务等，将导致理财产品本金或收益蒙受损失的风险。</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银行针对理财产品配置资产的不同特征，采取了多种管理措施，针对有信用评级的固定收益产品，将其纳入银行信用产品投资管理范畴，依据其信用评级、财务状况、市场影响等多重指标对已投资和待投资的资产定期进行评估，符合投资要求的信用产品方可继续持有或允许投资，不符合投资要求的资产则限期出售或不予投资，并在运作过程中严格监控所投资资产的信用等级，尽最大努力控制理财产品的信用风险。</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（三）市场风险：理财产品面临的市场风险主要指因市场各种风险因子变动，使得理财产品配置资产的价格发生波动，导致理财产品本金或收益蒙受损失的风险。</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理财产品投资不同类型的资产可能面临的市场风险包括但不限于：1.理财产品投资债券等固定收益率资产将面临利率、汇率变化等市场风险以及债券价格波动风险；2.理财产品投资股票等权益类资产将面临股票价格波动风险和股票发行人的经营风险、管理风险等风险；3.理财产品投资商品及金融衍生品类产品可能面临衍生品公允价值变化风险。</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银行密切监控理财产品配置资产的交易情况，定期进行估值，如交易价格或成交量发生异动、重大事件发生时（债券发行人涉及亏损、诉讼等），及时采取相应措施，尽最大努力控制理财产品面临的市场风险。</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四）流动性风险：从理财产品资产配置的角度，流动性风险主要是指因理财产品所配置资产缺乏流动性，使得理财期末或理财产品的开放期内（如有），无法以合理的价格及时将资产变现或因资产变现而导致的额外资金成本增加，导致理财产品本金或收益蒙受损失的风险；从投资者自身的角度，流动性风险是指投资者所投资理财产品为固定期限产品，以及投资者不可提前终止理财产品，当市场上出现更高收益的产品时，将有可能因此丧失其他投资机会；或当投资者急需流动性时，无法及时变现理财产品。</w:t>
      </w:r>
    </w:p>
    <w:p>
      <w:pPr>
        <w:widowControl/>
        <w:spacing w:line="200" w:lineRule="exact"/>
        <w:ind w:firstLine="270"/>
        <w:jc w:val="left"/>
        <w:rPr>
          <w:rFonts w:ascii="宋体" w:hAnsi="宋体" w:cs="宋体"/>
          <w:color w:val="3D3D3D"/>
          <w:kern w:val="0"/>
          <w:sz w:val="13"/>
          <w:szCs w:val="11"/>
        </w:rPr>
      </w:pPr>
      <w:r>
        <w:rPr>
          <w:rFonts w:hint="eastAsia" w:ascii="宋体" w:hAnsi="宋体" w:cs="宋体"/>
          <w:color w:val="3D3D3D"/>
          <w:kern w:val="0"/>
          <w:sz w:val="13"/>
          <w:szCs w:val="11"/>
        </w:rPr>
        <w:t>从理财产品资产配置的角度，在理财产品成立期初，对理财产品及其所配置资产的存续期进行评估，对期限明显不匹配的理财产品评估较高的风险等级，并对理财产品所配置资产自身的流动性进行分析，对流动性较差的资产，将不予开展期限不匹配的投资，以控制流动性风险；在投资者方面，银行将充分提示投资者根据本理财产品期限，合理安排自身投资计划。</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（五）交易对手风险：理财产品面临的交易对手风险主要是指银行为理财产品配置资产的过程中，因交易对手交易失误等原因，导致理财产品本金或收益蒙受损失的风险。</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银行一方面在配置资产过程中严格选择信用水平较高的交易对手，另一方面参照同业统一授信的管理方式，加强对交易对手信用状况的跟踪调查，管理理财产品配置资产过程中的交易对手风险。</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六）利率、汇率及通货膨胀风险：在本理财产品存续期限内，金融市场利率、汇率的波动会直接导致证券市场的价格和收益率的变动，影响着企业的融资成本和利润。对于债券等资产，其收益水平会受到利率、汇率等</w:t>
      </w:r>
      <w:r>
        <w:rPr>
          <w:rFonts w:ascii="宋体" w:hAnsi="宋体" w:cs="宋体"/>
          <w:color w:val="3D3D3D"/>
          <w:kern w:val="0"/>
          <w:sz w:val="13"/>
          <w:szCs w:val="11"/>
        </w:rPr>
        <w:t>变</w:t>
      </w:r>
      <w:r>
        <w:rPr>
          <w:rFonts w:hint="eastAsia" w:ascii="宋体" w:hAnsi="宋体" w:cs="宋体"/>
          <w:color w:val="3D3D3D"/>
          <w:kern w:val="0"/>
          <w:sz w:val="13"/>
          <w:szCs w:val="11"/>
        </w:rPr>
        <w:t>化的影响，导致公允价值波动，从而导致产品单位净值下跌甚至本金损失的风险。同时，本理财产品存在实际收益率可能低于通货膨胀率，从而导致投资者实际收益为负的风险。</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七）抵质押物变现风险：本理财产品部分基础资产项下可能设定抵质押等担保品，如发生该部分基础资产项下相应义务人违约等情形时，将会对抵质押物进行处置，如抵质押物等不能变现或不能及时、足额变现或抵质押物的变现价值不足以覆盖该部分基础资产本金及投资收益，则可能影响投资者收益，甚至发生本理财产品净值下跌甚至本金损失的情况。</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八）产品不成立风险：如果本理财产品募集期限届满，因募集规模低于理财说明书约定的最低规模（如有）或其它因素导致本理财产品不能成立的情形，经银行合理判断难以按照对应期次《理财产品说明书》的规定向投资者提供本理财服务的，银行有权宣布理财产品不成立且不承担任何违约责任，投资者将面临再投资风险。</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（九）延期兑付风险：如因理财产品投资的资产无法及时变现等原因造成不能按时支付理财资金本金和收益，则投资者面临理财产品期限延期、调整等风险。</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（十）提前终止风险：在理财产品存续期内，银行有权根据市场变化情况提前终止本理财产品，一旦理财产品被提前终止，投资者可能面临再投资风险、本金和收益蒙受损失的风险。</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十一）信息传递风险：是指由于投资者未能及时主动了解产品信息，或由于通信故障、系统故障以及其他不可抗力等因素的影响，使得投资者无法及时了解产品信息，而导致投资者无法及时做出合理决策，致使投资蒙受损失的风险。</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银行按照对应期次《理财产品说明书》有关条款的约定，发布当期理财产品的运作、到期清算或提前终止等信息公告。投资者应根据理财产品说明书中约定的渠道查询，如果投资者未及时查询，或由于通信故障、系统故障以及其他不可抗力等因素的影响使得投资者无法及时了解产品信息，因此而产生的责任和风险由投资者自行承担。</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投资者预留在银行的有效联系方式进行变更的，应及时告知银行，如投资者未及时告知银行联系方式变更的，银行可能在需要时无法及时联系投资者，并可能会由此影响投资者的决策，由此产生的责任和风险由投资者自行承担。</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十二）不可抗力及意外事件风险：理财产品面临的不可抗力及意外事件风险是指包括但不限于因战争、重大自然灾害、金融市场危机、国家政策变化等不能预见、不能避免、不能克服的不可抗力因素或银行系统故障、通讯故障、投资市场停止交易等意外事件的出现，严重影响金融市场的正常运行，从而导致理财产品的成立、发行、投资运作、资金返还、信息披露、公告通知等造成影响，甚至影响理财产品的受理、投资、兑付等事宜的正常进行，进而导致投资者蒙受损失的风险。由此产生的风险由投资者自行承担，银行对此不承担任何责任。</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十三）税收风险：银行暂不负责代扣代缴投资者购买本理财产品所得收益应缴纳的各项税款。若相关税法法规规定理财产品管理人应代扣代缴相关税款，银行有权依法履行代扣代缴义务，则投资者面临其取得的收益扣减相应税费的风险。此外，税收法规的执行及修订可能对本理财产品投资运作等过程中需缴纳的相关税费产生影响，可能影响投资者收益，甚至造成本理财产品单位净值下跌、本金损失的情况。</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（十四）管理风险：在产品运作过程中，受产品管理人经验、技能、判断力、执行力等方面的限制，可能对产品的运作及管理造成一定影响，并因此影响投资者收益，甚至造成本理财产品净值下跌、本金损失。</w:t>
      </w:r>
    </w:p>
    <w:p>
      <w:pPr>
        <w:widowControl/>
        <w:spacing w:line="200" w:lineRule="exact"/>
        <w:ind w:firstLine="260" w:firstLineChars="200"/>
        <w:jc w:val="left"/>
        <w:rPr>
          <w:rFonts w:ascii="宋体" w:hAnsi="宋体" w:cs="宋体"/>
          <w:color w:val="3D3D3D"/>
          <w:kern w:val="0"/>
          <w:sz w:val="13"/>
          <w:szCs w:val="11"/>
        </w:rPr>
      </w:pPr>
    </w:p>
    <w:p>
      <w:pPr>
        <w:widowControl/>
        <w:spacing w:line="200" w:lineRule="exact"/>
        <w:ind w:firstLine="260" w:firstLineChars="200"/>
        <w:jc w:val="left"/>
        <w:rPr>
          <w:rFonts w:ascii="宋体" w:hAnsi="宋体" w:cs="宋体"/>
          <w:color w:val="3D3D3D"/>
          <w:kern w:val="0"/>
          <w:sz w:val="13"/>
          <w:szCs w:val="11"/>
        </w:rPr>
      </w:pPr>
      <w:r>
        <w:rPr>
          <w:rFonts w:hint="eastAsia" w:ascii="宋体" w:hAnsi="宋体" w:cs="宋体"/>
          <w:color w:val="3D3D3D"/>
          <w:kern w:val="0"/>
          <w:sz w:val="13"/>
          <w:szCs w:val="11"/>
        </w:rPr>
        <w:t>第二条 本理财产品特定风险揭示</w:t>
      </w:r>
    </w:p>
    <w:p>
      <w:pPr>
        <w:widowControl/>
        <w:spacing w:line="200" w:lineRule="exact"/>
        <w:ind w:firstLine="260"/>
        <w:jc w:val="left"/>
        <w:rPr>
          <w:rFonts w:ascii="宋体" w:hAnsi="宋体" w:cs="宋体"/>
          <w:b/>
          <w:bCs/>
          <w:color w:val="3D3D3D"/>
          <w:kern w:val="0"/>
          <w:sz w:val="13"/>
          <w:szCs w:val="11"/>
        </w:rPr>
      </w:pPr>
      <w:r>
        <w:rPr>
          <w:rFonts w:hint="eastAsia" w:ascii="宋体" w:hAnsi="宋体" w:cs="宋体"/>
          <w:b/>
          <w:bCs/>
          <w:color w:val="3D3D3D"/>
          <w:kern w:val="0"/>
          <w:sz w:val="13"/>
          <w:szCs w:val="11"/>
        </w:rPr>
        <w:t>本理财产品类型：非保本浮动收益型、封闭式、固定收益类、公募、净值型。</w:t>
      </w:r>
    </w:p>
    <w:p>
      <w:pPr>
        <w:widowControl/>
        <w:spacing w:line="200" w:lineRule="exact"/>
        <w:ind w:firstLine="270"/>
        <w:jc w:val="left"/>
        <w:rPr>
          <w:rFonts w:ascii="宋体" w:hAnsi="宋体" w:cs="宋体"/>
          <w:b/>
          <w:bCs/>
          <w:color w:val="3D3D3D"/>
          <w:kern w:val="0"/>
          <w:sz w:val="13"/>
          <w:szCs w:val="11"/>
        </w:rPr>
      </w:pPr>
      <w:r>
        <w:rPr>
          <w:rFonts w:hint="eastAsia" w:ascii="宋体" w:hAnsi="宋体" w:cs="宋体"/>
          <w:b/>
          <w:color w:val="3D3D3D"/>
          <w:kern w:val="0"/>
          <w:sz w:val="13"/>
          <w:szCs w:val="11"/>
        </w:rPr>
        <w:t>本理财产品期限为182天。</w:t>
      </w:r>
    </w:p>
    <w:p>
      <w:pPr>
        <w:widowControl/>
        <w:spacing w:line="200" w:lineRule="exact"/>
        <w:ind w:firstLine="260"/>
        <w:jc w:val="left"/>
        <w:rPr>
          <w:rFonts w:ascii="宋体" w:hAnsi="宋体" w:cs="宋体"/>
          <w:color w:val="3D3D3D"/>
          <w:kern w:val="0"/>
          <w:sz w:val="13"/>
          <w:szCs w:val="11"/>
        </w:rPr>
      </w:pPr>
      <w:r>
        <w:rPr>
          <w:rFonts w:hint="eastAsia" w:ascii="宋体" w:hAnsi="宋体" w:cs="宋体"/>
          <w:b/>
          <w:bCs/>
          <w:color w:val="3D3D3D"/>
          <w:kern w:val="0"/>
          <w:sz w:val="13"/>
          <w:szCs w:val="11"/>
        </w:rPr>
        <w:t>本理财产品风险评级结果：</w:t>
      </w:r>
      <w:r>
        <w:rPr>
          <w:rFonts w:hint="eastAsia" w:ascii="宋体" w:hAnsi="宋体" w:cs="宋体"/>
          <w:color w:val="3D3D3D"/>
          <w:kern w:val="0"/>
          <w:sz w:val="13"/>
          <w:szCs w:val="11"/>
        </w:rPr>
        <w:t>根据本银行理财产品内部风险评级，该产品风险等级为</w:t>
      </w:r>
      <w:r>
        <w:rPr>
          <w:rFonts w:hint="eastAsia" w:ascii="宋体" w:hAnsi="宋体" w:cs="宋体"/>
          <w:b/>
          <w:bCs/>
          <w:color w:val="3D3D3D"/>
          <w:kern w:val="0"/>
          <w:sz w:val="13"/>
          <w:szCs w:val="11"/>
        </w:rPr>
        <w:t>中级</w:t>
      </w:r>
      <w:r>
        <w:rPr>
          <w:rFonts w:hint="eastAsia" w:ascii="宋体" w:hAnsi="宋体" w:cs="宋体"/>
          <w:color w:val="3D3D3D"/>
          <w:kern w:val="0"/>
          <w:sz w:val="13"/>
          <w:szCs w:val="11"/>
        </w:rPr>
        <w:t>（本风险等级为本银行内部风险评级结果，仅供参考）。</w:t>
      </w:r>
    </w:p>
    <w:p>
      <w:pPr>
        <w:widowControl/>
        <w:spacing w:line="200" w:lineRule="exact"/>
        <w:ind w:firstLine="260"/>
        <w:jc w:val="left"/>
        <w:rPr>
          <w:rFonts w:ascii="宋体" w:hAnsi="宋体" w:cs="宋体"/>
          <w:b/>
          <w:bCs/>
          <w:color w:val="3D3D3D"/>
          <w:kern w:val="0"/>
          <w:sz w:val="13"/>
          <w:szCs w:val="11"/>
        </w:rPr>
      </w:pPr>
      <w:r>
        <w:rPr>
          <w:rFonts w:hint="eastAsia" w:ascii="宋体" w:hAnsi="宋体" w:cs="宋体"/>
          <w:b/>
          <w:bCs/>
          <w:color w:val="3D3D3D"/>
          <w:kern w:val="0"/>
          <w:sz w:val="13"/>
          <w:szCs w:val="11"/>
        </w:rPr>
        <w:t>适合购买本理财产品的投资者：本理财产品适合风险承受能力为中级及以上（风险评级仅针对个人投资者）的投资者购买。</w:t>
      </w:r>
    </w:p>
    <w:p>
      <w:pPr>
        <w:widowControl/>
        <w:spacing w:line="200" w:lineRule="exact"/>
        <w:ind w:firstLine="260"/>
        <w:jc w:val="left"/>
        <w:rPr>
          <w:rFonts w:ascii="宋体" w:hAnsi="宋体" w:cs="宋体"/>
          <w:color w:val="3D3D3D"/>
          <w:kern w:val="0"/>
          <w:sz w:val="13"/>
          <w:szCs w:val="11"/>
        </w:rPr>
      </w:pPr>
      <w:r>
        <w:rPr>
          <w:rFonts w:hint="eastAsia" w:ascii="宋体" w:hAnsi="宋体" w:cs="宋体"/>
          <w:b/>
          <w:bCs/>
          <w:color w:val="3D3D3D"/>
          <w:kern w:val="0"/>
          <w:sz w:val="13"/>
          <w:szCs w:val="11"/>
        </w:rPr>
        <w:t>最不利投资情形下的投资结果：若投资者认购本理财产品，最不利情况下，投资组合内所有资产均发生以上所述的风险事件，且投资组合内所有资产均发生全额损失，则投资者到期收到款项为0，即投资者面临全部本金与收益的损失。为保证当期理财投资者权益而产生的费用由当期理财产品承担。</w:t>
      </w:r>
    </w:p>
    <w:p>
      <w:pPr>
        <w:widowControl/>
        <w:spacing w:line="200" w:lineRule="exact"/>
        <w:ind w:firstLine="260"/>
        <w:jc w:val="center"/>
        <w:rPr>
          <w:rFonts w:ascii="宋体" w:hAnsi="宋体" w:cs="宋体"/>
          <w:b/>
          <w:color w:val="3D3D3D"/>
          <w:kern w:val="0"/>
          <w:sz w:val="15"/>
          <w:szCs w:val="13"/>
          <w:u w:val="single"/>
        </w:rPr>
      </w:pPr>
      <w:r>
        <w:rPr>
          <w:rFonts w:hint="eastAsia" w:ascii="宋体" w:hAnsi="宋体" w:cs="宋体"/>
          <w:b/>
          <w:color w:val="3D3D3D"/>
          <w:kern w:val="0"/>
          <w:sz w:val="15"/>
          <w:szCs w:val="13"/>
          <w:u w:val="single"/>
        </w:rPr>
        <w:t>上述风险客观存在，敬请投资者予以充分关注！</w:t>
      </w:r>
    </w:p>
    <w:p>
      <w:pPr>
        <w:widowControl/>
        <w:spacing w:line="200" w:lineRule="exact"/>
        <w:ind w:firstLine="260"/>
        <w:jc w:val="center"/>
        <w:rPr>
          <w:rFonts w:ascii="宋体" w:hAnsi="宋体" w:cs="宋体"/>
          <w:b/>
          <w:color w:val="3D3D3D"/>
          <w:kern w:val="0"/>
          <w:sz w:val="15"/>
          <w:szCs w:val="13"/>
          <w:u w:val="single"/>
        </w:rPr>
      </w:pPr>
    </w:p>
    <w:p>
      <w:pPr>
        <w:widowControl/>
        <w:spacing w:line="200" w:lineRule="exact"/>
        <w:ind w:firstLine="260"/>
        <w:jc w:val="center"/>
        <w:rPr>
          <w:rFonts w:ascii="宋体" w:hAnsi="宋体" w:cs="宋体"/>
          <w:b/>
          <w:color w:val="3D3D3D"/>
          <w:kern w:val="0"/>
          <w:sz w:val="15"/>
          <w:szCs w:val="13"/>
          <w:u w:val="single"/>
        </w:rPr>
      </w:pPr>
    </w:p>
    <w:p>
      <w:pPr>
        <w:widowControl/>
        <w:spacing w:line="200" w:lineRule="exact"/>
        <w:jc w:val="left"/>
        <w:rPr>
          <w:rFonts w:ascii="宋体" w:hAnsi="宋体" w:cs="宋体"/>
          <w:b/>
          <w:color w:val="3D3D3D"/>
          <w:kern w:val="0"/>
          <w:sz w:val="15"/>
          <w:szCs w:val="13"/>
          <w:u w:val="single"/>
        </w:rPr>
      </w:pPr>
    </w:p>
    <w:p>
      <w:pPr>
        <w:widowControl/>
        <w:spacing w:line="200" w:lineRule="exact"/>
        <w:jc w:val="left"/>
        <w:rPr>
          <w:rFonts w:ascii="宋体" w:hAnsi="宋体" w:cs="宋体"/>
          <w:b/>
          <w:color w:val="3D3D3D"/>
          <w:kern w:val="0"/>
          <w:sz w:val="15"/>
          <w:szCs w:val="15"/>
          <w:u w:val="single"/>
        </w:rPr>
      </w:pPr>
      <w:r>
        <w:rPr>
          <w:rFonts w:hint="eastAsia" w:ascii="宋体" w:hAnsi="宋体" w:cs="宋体"/>
          <w:b/>
          <w:color w:val="3D3D3D"/>
          <w:kern w:val="0"/>
          <w:sz w:val="15"/>
          <w:szCs w:val="15"/>
          <w:u w:val="single"/>
        </w:rPr>
        <w:t>投资者声明：</w:t>
      </w:r>
    </w:p>
    <w:p>
      <w:pPr>
        <w:widowControl/>
        <w:spacing w:line="200" w:lineRule="exact"/>
        <w:jc w:val="left"/>
        <w:rPr>
          <w:rFonts w:ascii="宋体" w:hAnsi="宋体" w:cs="宋体"/>
          <w:b/>
          <w:color w:val="3D3D3D"/>
          <w:kern w:val="0"/>
          <w:sz w:val="15"/>
          <w:szCs w:val="15"/>
          <w:u w:val="single"/>
        </w:rPr>
      </w:pPr>
      <w:r>
        <w:rPr>
          <w:rFonts w:hint="eastAsia" w:ascii="宋体" w:hAnsi="宋体" w:cs="宋体"/>
          <w:b/>
          <w:color w:val="3D3D3D"/>
          <w:kern w:val="0"/>
          <w:sz w:val="15"/>
          <w:szCs w:val="15"/>
          <w:u w:val="single"/>
        </w:rPr>
        <w:t>1. 如投资者通过电子银行（包括但不限于网上银行、手机银行或监管机构认可的其他销售渠道）购买本理财产品的，本风险揭示书以数据电文形式订立，投资者在银行提供的电子银行点击接受本风险揭示书，即表示投资者已阅读所有条款，并对条款的含义及相应的法律后果已全部知晓并充分理解，同意接受本风险揭示书的约束。投资者点击“确认”即视为确认本人符合本理财产品的风险等级并自愿承担投资风险，不再需要手写填写及抄录。电子银行渠道所生成和保留记载的相关电子数据及交易记录以及银行方制作或保留的相关电子及纸质单据、凭证、记录等相关资料,构成有效证明投资者与银行双方之间权利义务关系的确定证据，投资者无条件认可电子数据的有效性和证据效力。</w:t>
      </w:r>
    </w:p>
    <w:p>
      <w:pPr>
        <w:widowControl/>
        <w:spacing w:line="200" w:lineRule="exact"/>
        <w:jc w:val="left"/>
        <w:rPr>
          <w:rFonts w:ascii="宋体" w:hAnsi="宋体" w:cs="宋体"/>
          <w:color w:val="3D3D3D"/>
          <w:kern w:val="0"/>
          <w:sz w:val="15"/>
          <w:szCs w:val="15"/>
        </w:rPr>
      </w:pPr>
      <w:r>
        <w:rPr>
          <w:rFonts w:hint="eastAsia" w:ascii="宋体" w:hAnsi="宋体" w:cs="宋体"/>
          <w:b/>
          <w:bCs/>
          <w:color w:val="3D3D3D"/>
          <w:kern w:val="0"/>
          <w:sz w:val="15"/>
          <w:szCs w:val="15"/>
        </w:rPr>
        <w:t>2. 本投资者在购买本理财产品前已完成风险承受能力评估，且该评估结果具有效力。本投资者的风险评级结果为：     （低、 中低、 中、 中高、 高）</w:t>
      </w:r>
      <w:r>
        <w:rPr>
          <w:rFonts w:hint="eastAsia" w:ascii="宋体" w:hAnsi="宋体" w:cs="宋体"/>
          <w:b/>
          <w:color w:val="3D3D3D"/>
          <w:kern w:val="0"/>
          <w:sz w:val="15"/>
          <w:szCs w:val="15"/>
        </w:rPr>
        <w:t>（仅由个人</w:t>
      </w:r>
      <w:r>
        <w:rPr>
          <w:rFonts w:hint="eastAsia" w:ascii="宋体" w:hAnsi="宋体" w:cs="宋体"/>
          <w:b/>
          <w:bCs/>
          <w:color w:val="3D3D3D"/>
          <w:kern w:val="0"/>
          <w:sz w:val="15"/>
          <w:szCs w:val="15"/>
        </w:rPr>
        <w:t>投资者</w:t>
      </w:r>
      <w:r>
        <w:rPr>
          <w:rFonts w:hint="eastAsia" w:ascii="宋体" w:hAnsi="宋体" w:cs="宋体"/>
          <w:b/>
          <w:color w:val="3D3D3D"/>
          <w:kern w:val="0"/>
          <w:sz w:val="15"/>
          <w:szCs w:val="15"/>
        </w:rPr>
        <w:t>亲自填写）</w:t>
      </w:r>
      <w:r>
        <w:rPr>
          <w:rFonts w:hint="eastAsia" w:ascii="宋体" w:hAnsi="宋体" w:cs="宋体"/>
          <w:b/>
          <w:bCs/>
          <w:color w:val="3D3D3D"/>
          <w:kern w:val="0"/>
          <w:sz w:val="15"/>
          <w:szCs w:val="15"/>
        </w:rPr>
        <w:t>。如果影响本投资者风险承受能力的因素发生变化，将及时完成风险承受能力评估，否则由此产生的责任和风险由本投资者自行承担。　　</w:t>
      </w:r>
      <w:r>
        <w:rPr>
          <w:rFonts w:hint="eastAsia" w:ascii="宋体" w:hAnsi="宋体" w:cs="宋体"/>
          <w:color w:val="3D3D3D"/>
          <w:kern w:val="0"/>
          <w:sz w:val="15"/>
          <w:szCs w:val="15"/>
        </w:rPr>
        <w:t>　</w:t>
      </w:r>
    </w:p>
    <w:p>
      <w:pPr>
        <w:widowControl/>
        <w:spacing w:line="200" w:lineRule="exact"/>
        <w:jc w:val="left"/>
        <w:rPr>
          <w:rFonts w:ascii="宋体" w:hAnsi="宋体" w:cs="宋体"/>
          <w:b/>
          <w:bCs/>
          <w:color w:val="3D3D3D"/>
          <w:kern w:val="0"/>
          <w:sz w:val="15"/>
          <w:szCs w:val="15"/>
        </w:rPr>
      </w:pPr>
      <w:r>
        <w:rPr>
          <w:rFonts w:hint="eastAsia" w:ascii="宋体" w:hAnsi="宋体" w:cs="宋体"/>
          <w:b/>
          <w:color w:val="3D3D3D"/>
          <w:kern w:val="0"/>
          <w:sz w:val="15"/>
          <w:szCs w:val="15"/>
          <w:u w:val="single"/>
        </w:rPr>
        <w:t>3. 本</w:t>
      </w:r>
      <w:r>
        <w:rPr>
          <w:rFonts w:hint="eastAsia" w:ascii="宋体" w:hAnsi="宋体" w:cs="宋体"/>
          <w:b/>
          <w:bCs/>
          <w:color w:val="3D3D3D"/>
          <w:kern w:val="0"/>
          <w:sz w:val="15"/>
          <w:szCs w:val="15"/>
        </w:rPr>
        <w:t>投资者</w:t>
      </w:r>
      <w:r>
        <w:rPr>
          <w:rFonts w:hint="eastAsia" w:ascii="宋体" w:hAnsi="宋体" w:cs="宋体"/>
          <w:b/>
          <w:color w:val="3D3D3D"/>
          <w:kern w:val="0"/>
          <w:sz w:val="15"/>
          <w:szCs w:val="15"/>
          <w:u w:val="single"/>
        </w:rPr>
        <w:t>已认真阅读并充分理解本风险揭示书、《理财产品销售协议书》、《理财产品说明书》、《投资者权益须知》的全部条款与内容，充分了解履行上述文件的责任，具有识别及承担相关风险的能力，充分了解本理财产品的风险并愿意承担相关风险。</w:t>
      </w:r>
    </w:p>
    <w:p>
      <w:pPr>
        <w:widowControl/>
        <w:spacing w:line="200" w:lineRule="exact"/>
        <w:jc w:val="left"/>
        <w:rPr>
          <w:rFonts w:ascii="宋体" w:hAnsi="宋体" w:cs="宋体"/>
          <w:b/>
          <w:bCs/>
          <w:color w:val="3D3D3D"/>
          <w:kern w:val="0"/>
          <w:sz w:val="15"/>
          <w:szCs w:val="15"/>
        </w:rPr>
      </w:pPr>
      <w:r>
        <w:rPr>
          <w:rFonts w:hint="eastAsia" w:ascii="宋体" w:hAnsi="宋体" w:cs="宋体"/>
          <w:b/>
          <w:color w:val="3D3D3D"/>
          <w:kern w:val="0"/>
          <w:sz w:val="15"/>
          <w:szCs w:val="13"/>
          <w:u w:val="single"/>
        </w:rPr>
        <w:t>4. 银行已就理财产品销售文件向本</w:t>
      </w:r>
      <w:r>
        <w:rPr>
          <w:rFonts w:hint="eastAsia" w:ascii="宋体" w:hAnsi="宋体" w:cs="宋体"/>
          <w:b/>
          <w:bCs/>
          <w:color w:val="3D3D3D"/>
          <w:kern w:val="0"/>
          <w:sz w:val="15"/>
          <w:szCs w:val="15"/>
        </w:rPr>
        <w:t>投资者</w:t>
      </w:r>
      <w:r>
        <w:rPr>
          <w:rFonts w:hint="eastAsia" w:ascii="宋体" w:hAnsi="宋体" w:cs="宋体"/>
          <w:b/>
          <w:color w:val="3D3D3D"/>
          <w:kern w:val="0"/>
          <w:sz w:val="15"/>
          <w:szCs w:val="13"/>
          <w:u w:val="single"/>
        </w:rPr>
        <w:t>进行了详细的说明和解释，本</w:t>
      </w:r>
      <w:r>
        <w:rPr>
          <w:rFonts w:hint="eastAsia" w:ascii="宋体" w:hAnsi="宋体" w:cs="宋体"/>
          <w:b/>
          <w:bCs/>
          <w:color w:val="3D3D3D"/>
          <w:kern w:val="0"/>
          <w:sz w:val="15"/>
          <w:szCs w:val="15"/>
        </w:rPr>
        <w:t>投资者</w:t>
      </w:r>
      <w:r>
        <w:rPr>
          <w:rFonts w:hint="eastAsia" w:ascii="宋体" w:hAnsi="宋体" w:cs="宋体"/>
          <w:b/>
          <w:color w:val="3D3D3D"/>
          <w:kern w:val="0"/>
          <w:sz w:val="15"/>
          <w:szCs w:val="13"/>
          <w:u w:val="single"/>
        </w:rPr>
        <w:t>已充分认识理财产品的风险和收益，并在已充分了解各项文件内容的基础上，完全由本</w:t>
      </w:r>
      <w:r>
        <w:rPr>
          <w:rFonts w:hint="eastAsia" w:ascii="宋体" w:hAnsi="宋体" w:cs="宋体"/>
          <w:b/>
          <w:bCs/>
          <w:color w:val="3D3D3D"/>
          <w:kern w:val="0"/>
          <w:sz w:val="15"/>
          <w:szCs w:val="15"/>
        </w:rPr>
        <w:t>投资者</w:t>
      </w:r>
      <w:r>
        <w:rPr>
          <w:rFonts w:hint="eastAsia" w:ascii="宋体" w:hAnsi="宋体" w:cs="宋体"/>
          <w:b/>
          <w:color w:val="3D3D3D"/>
          <w:kern w:val="0"/>
          <w:sz w:val="15"/>
          <w:szCs w:val="13"/>
          <w:u w:val="single"/>
        </w:rPr>
        <w:t>独立、自主、谨慎做出本次投资决策，并未依赖于银行在理财产品销售文件之外的任何陈述、说明、文件或承诺，银行的义务和责任以理财产品销售文件明确记载的书面内容为准。</w:t>
      </w:r>
    </w:p>
    <w:p>
      <w:pPr>
        <w:widowControl/>
        <w:spacing w:line="200" w:lineRule="exact"/>
        <w:jc w:val="left"/>
        <w:rPr>
          <w:rFonts w:ascii="宋体" w:hAnsi="宋体" w:cs="宋体"/>
          <w:color w:val="3D3D3D"/>
          <w:kern w:val="0"/>
          <w:sz w:val="15"/>
          <w:szCs w:val="15"/>
        </w:rPr>
      </w:pPr>
      <w:r>
        <w:rPr>
          <w:rFonts w:hint="eastAsia" w:ascii="宋体" w:hAnsi="宋体" w:cs="宋体"/>
          <w:b/>
          <w:color w:val="3D3D3D"/>
          <w:kern w:val="0"/>
          <w:sz w:val="15"/>
          <w:szCs w:val="15"/>
          <w:u w:val="single"/>
        </w:rPr>
        <w:t xml:space="preserve">5. </w:t>
      </w:r>
      <w:r>
        <w:rPr>
          <w:rFonts w:hint="eastAsia" w:ascii="宋体" w:hAnsi="宋体" w:cs="宋体"/>
          <w:color w:val="3D3D3D"/>
          <w:kern w:val="0"/>
          <w:sz w:val="15"/>
          <w:szCs w:val="15"/>
        </w:rPr>
        <w:t>以下划线部分，请投资者抄录确认：“</w:t>
      </w:r>
      <w:r>
        <w:rPr>
          <w:rFonts w:hint="eastAsia" w:ascii="宋体" w:hAnsi="宋体" w:cs="宋体"/>
          <w:b/>
          <w:color w:val="3D3D3D"/>
          <w:kern w:val="0"/>
          <w:sz w:val="15"/>
          <w:szCs w:val="15"/>
          <w:u w:val="single"/>
        </w:rPr>
        <w:t>本人已经阅读风险揭示，愿意承担投资风险</w:t>
      </w:r>
      <w:r>
        <w:rPr>
          <w:rFonts w:hint="eastAsia" w:ascii="宋体" w:hAnsi="宋体" w:cs="宋体"/>
          <w:color w:val="3D3D3D"/>
          <w:kern w:val="0"/>
          <w:sz w:val="15"/>
          <w:szCs w:val="15"/>
          <w:u w:val="single"/>
        </w:rPr>
        <w:t>”</w:t>
      </w:r>
      <w:r>
        <w:rPr>
          <w:rFonts w:hint="eastAsia" w:ascii="宋体" w:hAnsi="宋体"/>
          <w:color w:val="3D3D3D"/>
          <w:kern w:val="0"/>
          <w:sz w:val="15"/>
          <w:szCs w:val="15"/>
          <w:u w:val="single"/>
        </w:rPr>
        <w:t>。</w:t>
      </w:r>
    </w:p>
    <w:p>
      <w:pPr>
        <w:widowControl/>
        <w:spacing w:line="200" w:lineRule="exact"/>
        <w:ind w:firstLine="210"/>
        <w:jc w:val="left"/>
        <w:rPr>
          <w:rFonts w:ascii="宋体" w:hAnsi="宋体" w:cs="宋体"/>
          <w:color w:val="3D3D3D"/>
          <w:kern w:val="0"/>
          <w:sz w:val="15"/>
          <w:szCs w:val="15"/>
        </w:rPr>
      </w:pPr>
    </w:p>
    <w:p>
      <w:pPr>
        <w:widowControl/>
        <w:spacing w:line="200" w:lineRule="exact"/>
        <w:ind w:firstLine="210"/>
        <w:jc w:val="left"/>
        <w:rPr>
          <w:rFonts w:ascii="宋体" w:hAnsi="宋体" w:cs="宋体"/>
          <w:color w:val="3D3D3D"/>
          <w:kern w:val="0"/>
          <w:sz w:val="15"/>
          <w:szCs w:val="15"/>
        </w:rPr>
      </w:pPr>
    </w:p>
    <w:p>
      <w:pPr>
        <w:widowControl/>
        <w:spacing w:line="200" w:lineRule="exact"/>
        <w:ind w:firstLine="210"/>
        <w:jc w:val="left"/>
        <w:rPr>
          <w:rFonts w:ascii="宋体" w:hAnsi="宋体" w:cs="宋体"/>
          <w:color w:val="3D3D3D"/>
          <w:kern w:val="0"/>
          <w:sz w:val="15"/>
          <w:szCs w:val="15"/>
        </w:rPr>
      </w:pPr>
      <w:r>
        <w:rPr>
          <w:rFonts w:hint="eastAsia" w:ascii="宋体" w:hAnsi="宋体" w:cs="宋体"/>
          <w:color w:val="3D3D3D"/>
          <w:kern w:val="0"/>
          <w:sz w:val="15"/>
          <w:szCs w:val="15"/>
        </w:rPr>
        <w:t>投资者抄录：</w:t>
      </w:r>
      <w:r>
        <w:rPr>
          <w:rFonts w:eastAsia="Times New Roman"/>
          <w:sz w:val="15"/>
          <w:szCs w:val="15"/>
          <w:u w:val="single"/>
        </w:rPr>
        <w:tab/>
      </w:r>
      <w:r>
        <w:rPr>
          <w:rFonts w:eastAsia="Times New Roman"/>
          <w:sz w:val="15"/>
          <w:szCs w:val="15"/>
          <w:u w:val="single"/>
        </w:rPr>
        <w:tab/>
      </w:r>
      <w:r>
        <w:rPr>
          <w:rFonts w:eastAsia="Times New Roman"/>
          <w:sz w:val="15"/>
          <w:szCs w:val="15"/>
          <w:u w:val="single"/>
        </w:rPr>
        <w:tab/>
      </w:r>
      <w:r>
        <w:rPr>
          <w:rFonts w:eastAsia="Times New Roman"/>
          <w:sz w:val="15"/>
          <w:szCs w:val="15"/>
          <w:u w:val="single"/>
        </w:rPr>
        <w:tab/>
      </w:r>
      <w:r>
        <w:rPr>
          <w:rFonts w:eastAsia="Times New Roman"/>
          <w:sz w:val="15"/>
          <w:szCs w:val="15"/>
          <w:u w:val="single"/>
        </w:rPr>
        <w:tab/>
      </w:r>
      <w:r>
        <w:rPr>
          <w:rFonts w:eastAsia="Times New Roman"/>
          <w:sz w:val="15"/>
          <w:szCs w:val="15"/>
          <w:u w:val="single"/>
        </w:rPr>
        <w:tab/>
      </w:r>
      <w:r>
        <w:rPr>
          <w:rFonts w:eastAsia="Times New Roman"/>
          <w:sz w:val="15"/>
          <w:szCs w:val="15"/>
          <w:u w:val="single"/>
        </w:rPr>
        <w:tab/>
      </w:r>
      <w:r>
        <w:rPr>
          <w:rFonts w:eastAsia="Times New Roman"/>
          <w:sz w:val="15"/>
          <w:szCs w:val="15"/>
          <w:u w:val="single"/>
        </w:rPr>
        <w:tab/>
      </w:r>
      <w:r>
        <w:rPr>
          <w:rFonts w:eastAsia="Times New Roman"/>
          <w:sz w:val="15"/>
          <w:szCs w:val="15"/>
          <w:u w:val="single"/>
        </w:rPr>
        <w:tab/>
      </w:r>
    </w:p>
    <w:p>
      <w:pPr>
        <w:widowControl/>
        <w:spacing w:line="200" w:lineRule="exact"/>
        <w:ind w:firstLine="210"/>
        <w:jc w:val="left"/>
        <w:rPr>
          <w:rFonts w:ascii="宋体" w:hAnsi="宋体" w:cs="宋体"/>
          <w:color w:val="3D3D3D"/>
          <w:kern w:val="0"/>
          <w:sz w:val="13"/>
          <w:szCs w:val="11"/>
        </w:rPr>
      </w:pPr>
    </w:p>
    <w:p>
      <w:pPr>
        <w:widowControl/>
        <w:spacing w:line="200" w:lineRule="exact"/>
        <w:ind w:firstLine="210"/>
        <w:jc w:val="left"/>
        <w:rPr>
          <w:rFonts w:ascii="宋体" w:hAnsi="宋体" w:cs="宋体"/>
          <w:color w:val="3D3D3D"/>
          <w:kern w:val="0"/>
          <w:sz w:val="13"/>
          <w:szCs w:val="11"/>
        </w:rPr>
      </w:pPr>
    </w:p>
    <w:p>
      <w:pPr>
        <w:widowControl/>
        <w:spacing w:line="200" w:lineRule="exact"/>
        <w:ind w:firstLine="210"/>
        <w:jc w:val="left"/>
        <w:rPr>
          <w:rFonts w:ascii="宋体" w:hAnsi="宋体" w:cs="宋体"/>
          <w:color w:val="3D3D3D"/>
          <w:kern w:val="0"/>
          <w:sz w:val="13"/>
          <w:szCs w:val="11"/>
        </w:rPr>
      </w:pPr>
    </w:p>
    <w:p>
      <w:pPr>
        <w:widowControl/>
        <w:spacing w:line="200" w:lineRule="exact"/>
        <w:ind w:firstLine="210"/>
        <w:jc w:val="left"/>
        <w:rPr>
          <w:rFonts w:ascii="宋体" w:hAnsi="宋体" w:cs="宋体"/>
          <w:color w:val="3D3D3D"/>
          <w:kern w:val="0"/>
          <w:sz w:val="13"/>
          <w:szCs w:val="11"/>
        </w:rPr>
      </w:pPr>
    </w:p>
    <w:p>
      <w:pPr>
        <w:widowControl/>
        <w:spacing w:line="200" w:lineRule="exact"/>
        <w:ind w:firstLine="210"/>
        <w:jc w:val="left"/>
        <w:rPr>
          <w:rFonts w:ascii="宋体" w:hAnsi="宋体" w:cs="宋体"/>
          <w:color w:val="3D3D3D"/>
          <w:kern w:val="0"/>
          <w:sz w:val="13"/>
          <w:szCs w:val="11"/>
        </w:rPr>
      </w:pPr>
    </w:p>
    <w:p>
      <w:pPr>
        <w:widowControl/>
        <w:spacing w:line="200" w:lineRule="exact"/>
        <w:ind w:firstLine="210"/>
        <w:jc w:val="left"/>
        <w:rPr>
          <w:rFonts w:ascii="宋体" w:hAnsi="宋体" w:cs="宋体"/>
          <w:color w:val="3D3D3D"/>
          <w:kern w:val="0"/>
          <w:sz w:val="13"/>
          <w:szCs w:val="11"/>
        </w:rPr>
      </w:pPr>
    </w:p>
    <w:p>
      <w:pPr>
        <w:widowControl/>
        <w:spacing w:line="200" w:lineRule="exact"/>
        <w:ind w:firstLine="210"/>
        <w:jc w:val="left"/>
        <w:rPr>
          <w:rFonts w:ascii="宋体" w:hAnsi="宋体" w:cs="宋体"/>
          <w:color w:val="3D3D3D"/>
          <w:kern w:val="0"/>
          <w:sz w:val="13"/>
          <w:szCs w:val="11"/>
        </w:rPr>
      </w:pPr>
    </w:p>
    <w:p>
      <w:pPr>
        <w:widowControl/>
        <w:spacing w:line="200" w:lineRule="exact"/>
        <w:ind w:firstLine="210"/>
        <w:jc w:val="left"/>
        <w:rPr>
          <w:rFonts w:ascii="宋体" w:hAnsi="宋体" w:cs="宋体"/>
          <w:color w:val="3D3D3D"/>
          <w:kern w:val="0"/>
          <w:sz w:val="13"/>
          <w:szCs w:val="11"/>
        </w:rPr>
      </w:pPr>
    </w:p>
    <w:p>
      <w:pPr>
        <w:widowControl/>
        <w:spacing w:line="200" w:lineRule="exact"/>
        <w:ind w:firstLine="210"/>
        <w:jc w:val="left"/>
        <w:rPr>
          <w:rFonts w:ascii="宋体" w:hAnsi="宋体" w:cs="宋体"/>
          <w:color w:val="3D3D3D"/>
          <w:kern w:val="0"/>
          <w:sz w:val="13"/>
          <w:szCs w:val="11"/>
        </w:rPr>
      </w:pPr>
    </w:p>
    <w:p>
      <w:pPr>
        <w:widowControl/>
        <w:spacing w:line="200" w:lineRule="exact"/>
        <w:ind w:firstLine="210"/>
        <w:jc w:val="left"/>
        <w:rPr>
          <w:rFonts w:ascii="宋体" w:hAnsi="宋体" w:cs="宋体"/>
          <w:color w:val="3D3D3D"/>
          <w:kern w:val="0"/>
          <w:sz w:val="13"/>
          <w:szCs w:val="11"/>
        </w:rPr>
      </w:pPr>
    </w:p>
    <w:p>
      <w:pPr>
        <w:spacing w:line="200" w:lineRule="exact"/>
        <w:rPr>
          <w:rFonts w:ascii="宋体" w:hAnsi="宋体"/>
          <w:spacing w:val="10"/>
          <w:sz w:val="15"/>
          <w:szCs w:val="15"/>
        </w:rPr>
      </w:pPr>
      <w:r>
        <w:rPr>
          <w:rFonts w:hint="eastAsia" w:ascii="宋体" w:hAnsi="宋体"/>
          <w:spacing w:val="10"/>
          <w:sz w:val="15"/>
          <w:szCs w:val="15"/>
        </w:rPr>
        <w:t>（以下为签章页，适用于纸质书面形式订立协议的情形）</w:t>
      </w:r>
    </w:p>
    <w:p>
      <w:pPr>
        <w:spacing w:line="200" w:lineRule="exact"/>
        <w:rPr>
          <w:rFonts w:ascii="宋体" w:hAnsi="宋体"/>
          <w:spacing w:val="10"/>
          <w:sz w:val="15"/>
          <w:szCs w:val="15"/>
        </w:rPr>
      </w:pPr>
    </w:p>
    <w:p>
      <w:pPr>
        <w:spacing w:line="200" w:lineRule="exact"/>
        <w:rPr>
          <w:rFonts w:ascii="宋体" w:hAnsi="宋体"/>
          <w:spacing w:val="10"/>
          <w:sz w:val="15"/>
          <w:szCs w:val="15"/>
        </w:rPr>
      </w:pPr>
    </w:p>
    <w:p>
      <w:pPr>
        <w:rPr>
          <w:rFonts w:ascii="宋体" w:hAnsi="宋体" w:cs="宋体"/>
          <w:b/>
          <w:sz w:val="15"/>
          <w:szCs w:val="15"/>
        </w:rPr>
      </w:pPr>
      <w:r>
        <w:rPr>
          <w:rFonts w:hint="eastAsia" w:ascii="宋体" w:hAnsi="宋体" w:cs="宋体"/>
          <w:b/>
          <w:sz w:val="15"/>
          <w:szCs w:val="15"/>
        </w:rPr>
        <w:t xml:space="preserve">个人投资者适用          </w:t>
      </w:r>
    </w:p>
    <w:p>
      <w:pPr>
        <w:rPr>
          <w:rFonts w:ascii="宋体" w:hAnsi="宋体" w:cs="宋体"/>
          <w:b/>
          <w:sz w:val="15"/>
          <w:szCs w:val="15"/>
        </w:rPr>
      </w:pPr>
    </w:p>
    <w:p>
      <w:pPr>
        <w:ind w:firstLine="4200" w:firstLineChars="2800"/>
        <w:jc w:val="center"/>
        <w:rPr>
          <w:rFonts w:ascii="宋体" w:hAnsi="宋体" w:cs="宋体"/>
          <w:color w:val="3D3D3D"/>
          <w:kern w:val="0"/>
          <w:sz w:val="15"/>
          <w:szCs w:val="15"/>
        </w:rPr>
      </w:pPr>
      <w:r>
        <w:rPr>
          <w:rFonts w:hint="eastAsia" w:ascii="宋体" w:hAnsi="宋体" w:cs="宋体"/>
          <w:color w:val="000000"/>
          <w:sz w:val="15"/>
          <w:szCs w:val="15"/>
        </w:rPr>
        <w:t>签名：</w:t>
      </w:r>
    </w:p>
    <w:p>
      <w:pPr>
        <w:spacing w:line="200" w:lineRule="exact"/>
        <w:jc w:val="right"/>
        <w:rPr>
          <w:rFonts w:ascii="宋体" w:hAnsi="宋体"/>
          <w:spacing w:val="10"/>
          <w:sz w:val="15"/>
          <w:szCs w:val="15"/>
        </w:rPr>
      </w:pPr>
      <w:r>
        <w:rPr>
          <w:rFonts w:hint="eastAsia" w:ascii="宋体" w:hAnsi="宋体" w:cs="宋体"/>
          <w:color w:val="3D3D3D"/>
          <w:kern w:val="0"/>
          <w:sz w:val="15"/>
          <w:szCs w:val="15"/>
        </w:rPr>
        <w:t xml:space="preserve">                                                              年   月    日</w:t>
      </w:r>
    </w:p>
    <w:p>
      <w:pPr>
        <w:spacing w:line="200" w:lineRule="exact"/>
        <w:rPr>
          <w:rFonts w:ascii="宋体" w:hAnsi="宋体"/>
          <w:spacing w:val="10"/>
          <w:sz w:val="15"/>
          <w:szCs w:val="15"/>
        </w:rPr>
      </w:pPr>
    </w:p>
    <w:p>
      <w:pPr>
        <w:spacing w:line="200" w:lineRule="exact"/>
        <w:rPr>
          <w:rFonts w:ascii="宋体" w:hAnsi="宋体"/>
          <w:spacing w:val="10"/>
          <w:sz w:val="15"/>
          <w:szCs w:val="15"/>
        </w:rPr>
      </w:pPr>
    </w:p>
    <w:p>
      <w:pPr>
        <w:spacing w:line="200" w:lineRule="exact"/>
        <w:rPr>
          <w:rFonts w:ascii="宋体" w:hAnsi="宋体"/>
          <w:spacing w:val="10"/>
          <w:sz w:val="15"/>
          <w:szCs w:val="15"/>
        </w:rPr>
      </w:pPr>
    </w:p>
    <w:p>
      <w:pPr>
        <w:widowControl/>
        <w:spacing w:line="200" w:lineRule="exact"/>
        <w:rPr>
          <w:rFonts w:ascii="宋体" w:hAnsi="宋体" w:cs="宋体"/>
          <w:b/>
          <w:bCs/>
          <w:color w:val="3D3D3D"/>
          <w:kern w:val="0"/>
          <w:sz w:val="15"/>
          <w:szCs w:val="15"/>
        </w:rPr>
      </w:pPr>
      <w:r>
        <w:rPr>
          <w:rFonts w:hint="eastAsia" w:ascii="宋体" w:hAnsi="宋体" w:cs="宋体"/>
          <w:b/>
          <w:bCs/>
          <w:color w:val="3D3D3D"/>
          <w:kern w:val="0"/>
          <w:sz w:val="15"/>
          <w:szCs w:val="15"/>
        </w:rPr>
        <w:t>机构投资者适用</w:t>
      </w:r>
    </w:p>
    <w:p>
      <w:pPr>
        <w:widowControl/>
        <w:spacing w:line="200" w:lineRule="exact"/>
        <w:rPr>
          <w:rFonts w:ascii="宋体" w:hAnsi="宋体" w:cs="宋体"/>
          <w:b/>
          <w:bCs/>
          <w:color w:val="3D3D3D"/>
          <w:kern w:val="0"/>
          <w:sz w:val="15"/>
          <w:szCs w:val="15"/>
        </w:rPr>
      </w:pPr>
    </w:p>
    <w:p>
      <w:pPr>
        <w:widowControl/>
        <w:spacing w:line="200" w:lineRule="exact"/>
        <w:rPr>
          <w:rFonts w:ascii="宋体" w:hAnsi="宋体" w:cs="宋体"/>
          <w:b/>
          <w:bCs/>
          <w:color w:val="3D3D3D"/>
          <w:kern w:val="0"/>
          <w:sz w:val="15"/>
          <w:szCs w:val="15"/>
        </w:rPr>
      </w:pPr>
    </w:p>
    <w:p>
      <w:pPr>
        <w:widowControl/>
        <w:spacing w:line="200" w:lineRule="exact"/>
        <w:ind w:firstLine="3300" w:firstLineChars="2200"/>
        <w:jc w:val="center"/>
        <w:rPr>
          <w:rFonts w:ascii="宋体" w:hAnsi="宋体" w:cs="宋体"/>
          <w:color w:val="3D3D3D"/>
          <w:kern w:val="0"/>
          <w:sz w:val="15"/>
          <w:szCs w:val="15"/>
        </w:rPr>
      </w:pPr>
      <w:r>
        <w:rPr>
          <w:rFonts w:hint="eastAsia" w:ascii="宋体" w:hAnsi="宋体" w:cs="宋体"/>
          <w:color w:val="3D3D3D"/>
          <w:kern w:val="0"/>
          <w:sz w:val="15"/>
          <w:szCs w:val="15"/>
        </w:rPr>
        <w:t>机构名称：（盖章）：</w:t>
      </w:r>
    </w:p>
    <w:p>
      <w:pPr>
        <w:widowControl/>
        <w:spacing w:line="200" w:lineRule="exact"/>
        <w:jc w:val="right"/>
        <w:rPr>
          <w:rFonts w:ascii="宋体" w:hAnsi="宋体" w:cs="宋体"/>
          <w:color w:val="3D3D3D"/>
          <w:kern w:val="0"/>
          <w:sz w:val="15"/>
          <w:szCs w:val="15"/>
        </w:rPr>
      </w:pPr>
    </w:p>
    <w:p>
      <w:pPr>
        <w:widowControl/>
        <w:spacing w:line="200" w:lineRule="exact"/>
        <w:jc w:val="center"/>
        <w:rPr>
          <w:rFonts w:ascii="宋体" w:hAnsi="宋体" w:cs="宋体"/>
          <w:color w:val="3D3D3D"/>
          <w:kern w:val="0"/>
          <w:sz w:val="15"/>
          <w:szCs w:val="15"/>
        </w:rPr>
      </w:pPr>
      <w:r>
        <w:rPr>
          <w:rFonts w:hint="eastAsia" w:ascii="宋体" w:hAnsi="宋体" w:cs="宋体"/>
          <w:color w:val="3D3D3D"/>
          <w:kern w:val="0"/>
          <w:sz w:val="15"/>
          <w:szCs w:val="15"/>
        </w:rPr>
        <w:t xml:space="preserve">                                           法定代表人或授权代理人（签字或盖章）：</w:t>
      </w:r>
    </w:p>
    <w:p>
      <w:pPr>
        <w:widowControl/>
        <w:spacing w:line="200" w:lineRule="exact"/>
        <w:jc w:val="right"/>
        <w:rPr>
          <w:rFonts w:ascii="宋体" w:hAnsi="宋体" w:cs="宋体"/>
          <w:color w:val="3D3D3D"/>
          <w:kern w:val="0"/>
          <w:sz w:val="15"/>
          <w:szCs w:val="15"/>
        </w:rPr>
      </w:pPr>
    </w:p>
    <w:p>
      <w:pPr>
        <w:widowControl/>
        <w:spacing w:line="200" w:lineRule="exact"/>
        <w:jc w:val="right"/>
        <w:rPr>
          <w:rFonts w:ascii="宋体" w:hAnsi="宋体" w:cs="宋体"/>
          <w:color w:val="3D3D3D"/>
          <w:kern w:val="0"/>
          <w:sz w:val="13"/>
          <w:szCs w:val="11"/>
        </w:rPr>
      </w:pPr>
      <w:r>
        <w:rPr>
          <w:rFonts w:hint="eastAsia" w:ascii="宋体" w:hAnsi="宋体" w:cs="宋体"/>
          <w:color w:val="3D3D3D"/>
          <w:kern w:val="0"/>
          <w:sz w:val="15"/>
          <w:szCs w:val="15"/>
        </w:rPr>
        <w:t>年   月    日</w:t>
      </w:r>
    </w:p>
    <w:p>
      <w:pPr>
        <w:pStyle w:val="8"/>
        <w:spacing w:before="0" w:after="0" w:line="200" w:lineRule="exact"/>
        <w:jc w:val="center"/>
        <w:rPr>
          <w:rFonts w:ascii="黑体" w:hAnsi="黑体" w:eastAsia="黑体"/>
          <w:color w:val="3D3D3D"/>
          <w:sz w:val="15"/>
          <w:szCs w:val="15"/>
        </w:rPr>
      </w:pPr>
    </w:p>
    <w:p>
      <w:pPr>
        <w:pStyle w:val="8"/>
        <w:spacing w:before="0" w:after="0" w:line="200" w:lineRule="exact"/>
        <w:jc w:val="center"/>
        <w:rPr>
          <w:rFonts w:ascii="黑体" w:hAnsi="黑体" w:eastAsia="黑体"/>
          <w:color w:val="3D3D3D"/>
          <w:sz w:val="15"/>
          <w:szCs w:val="15"/>
        </w:rPr>
      </w:pPr>
    </w:p>
    <w:p>
      <w:pPr>
        <w:pStyle w:val="8"/>
        <w:spacing w:before="0" w:after="0" w:line="200" w:lineRule="exact"/>
        <w:jc w:val="center"/>
        <w:rPr>
          <w:rFonts w:ascii="黑体" w:hAnsi="黑体" w:eastAsia="黑体"/>
          <w:color w:val="3D3D3D"/>
          <w:sz w:val="15"/>
          <w:szCs w:val="15"/>
        </w:rPr>
      </w:pPr>
    </w:p>
    <w:p>
      <w:pPr>
        <w:spacing w:line="0" w:lineRule="atLeast"/>
        <w:rPr>
          <w:rFonts w:ascii="黑体" w:hAnsi="宋体" w:eastAsia="黑体"/>
          <w:b/>
          <w:bCs/>
          <w:kern w:val="0"/>
          <w:sz w:val="24"/>
          <w:szCs w:val="15"/>
        </w:rPr>
      </w:pPr>
      <w:r>
        <w:rPr>
          <w:rFonts w:ascii="黑体" w:hAnsi="黑体" w:eastAsia="黑体"/>
          <w:color w:val="3D3D3D"/>
          <w:sz w:val="20"/>
          <w:szCs w:val="18"/>
        </w:rPr>
        <w:br w:type="page"/>
      </w:r>
      <w:r>
        <w:rPr>
          <w:rFonts w:hint="eastAsia" w:ascii="黑体" w:hAnsi="宋体" w:eastAsia="黑体"/>
          <w:b/>
          <w:bCs/>
          <w:kern w:val="0"/>
          <w:sz w:val="24"/>
          <w:szCs w:val="15"/>
        </w:rPr>
        <w:t>理财产品说明书</w:t>
      </w:r>
    </w:p>
    <w:p>
      <w:pPr>
        <w:spacing w:line="0" w:lineRule="atLeast"/>
        <w:jc w:val="center"/>
        <w:rPr>
          <w:rFonts w:ascii="黑体" w:hAnsi="宋体" w:eastAsia="黑体"/>
          <w:b/>
          <w:bCs/>
          <w:i/>
          <w:kern w:val="0"/>
          <w:sz w:val="24"/>
          <w:szCs w:val="15"/>
          <w:u w:val="single"/>
        </w:rPr>
      </w:pPr>
      <w:r>
        <w:rPr>
          <w:rFonts w:hint="eastAsia" w:ascii="黑体" w:hAnsi="宋体" w:eastAsia="黑体"/>
          <w:b/>
          <w:bCs/>
          <w:i/>
          <w:kern w:val="0"/>
          <w:sz w:val="24"/>
          <w:szCs w:val="15"/>
          <w:u w:val="single"/>
        </w:rPr>
        <w:t>“理财非存款、产品有风险、投资须谨慎”！</w:t>
      </w:r>
    </w:p>
    <w:p>
      <w:pPr>
        <w:pStyle w:val="8"/>
        <w:spacing w:before="0" w:after="0" w:line="200" w:lineRule="exact"/>
        <w:ind w:firstLine="0"/>
        <w:jc w:val="center"/>
        <w:rPr>
          <w:rFonts w:ascii="黑体" w:hAnsi="黑体" w:eastAsia="黑体"/>
          <w:color w:val="3D3D3D"/>
          <w:sz w:val="20"/>
          <w:szCs w:val="18"/>
        </w:rPr>
      </w:pPr>
    </w:p>
    <w:p>
      <w:pPr>
        <w:widowControl/>
        <w:spacing w:line="200" w:lineRule="exact"/>
        <w:jc w:val="left"/>
        <w:rPr>
          <w:rFonts w:ascii="宋体" w:hAnsi="宋体" w:cs="宋体"/>
          <w:color w:val="3D3D3D"/>
          <w:kern w:val="0"/>
          <w:sz w:val="15"/>
          <w:szCs w:val="15"/>
        </w:rPr>
      </w:pPr>
      <w:r>
        <w:rPr>
          <w:rFonts w:hint="eastAsia" w:ascii="宋体" w:hAnsi="宋体" w:cs="宋体"/>
          <w:color w:val="3D3D3D"/>
          <w:kern w:val="0"/>
          <w:sz w:val="15"/>
          <w:szCs w:val="15"/>
        </w:rPr>
        <w:t>第一条 产品基本要素</w:t>
      </w:r>
    </w:p>
    <w:tbl>
      <w:tblPr>
        <w:tblStyle w:val="10"/>
        <w:tblW w:w="889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7"/>
        <w:gridCol w:w="64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产品名称</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南京银行珠联璧合逸稳99W182D封闭式公募人民币理财产品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产品类型</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b/>
                <w:bCs/>
                <w:kern w:val="0"/>
                <w:sz w:val="18"/>
                <w:szCs w:val="18"/>
              </w:rPr>
              <w:t>封闭式、固定收益类、公募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收益类型</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非保本浮动收益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募集方式</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公开募集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理财产品代码</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ZC108692144869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产品登记编码</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C1086921000031（投资者可依据该编码在中国理财网www.chinawealth.com.cn查询理财产品相关信息）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内部销售代码</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Z50099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理财期限</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182天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销售区域</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全国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理财币种</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理财认购期/募集期</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2021年</w:t>
            </w:r>
            <w:r>
              <w:rPr>
                <w:rFonts w:ascii="宋体" w:hAnsi="宋体" w:cs="宋体"/>
                <w:kern w:val="0"/>
                <w:sz w:val="18"/>
                <w:szCs w:val="18"/>
              </w:rPr>
              <w:t>3</w:t>
            </w:r>
            <w:r>
              <w:rPr>
                <w:rFonts w:hint="eastAsia" w:ascii="宋体" w:hAnsi="宋体" w:cs="宋体"/>
                <w:kern w:val="0"/>
                <w:sz w:val="18"/>
                <w:szCs w:val="18"/>
              </w:rPr>
              <w:t>月</w:t>
            </w:r>
            <w:r>
              <w:rPr>
                <w:rFonts w:ascii="宋体" w:hAnsi="宋体" w:cs="宋体"/>
                <w:kern w:val="0"/>
                <w:sz w:val="18"/>
                <w:szCs w:val="18"/>
              </w:rPr>
              <w:t>10</w:t>
            </w:r>
            <w:r>
              <w:rPr>
                <w:rFonts w:hint="eastAsia" w:ascii="宋体" w:hAnsi="宋体" w:cs="宋体"/>
                <w:kern w:val="0"/>
                <w:sz w:val="18"/>
                <w:szCs w:val="18"/>
              </w:rPr>
              <w:t>日—2021年</w:t>
            </w:r>
            <w:r>
              <w:rPr>
                <w:rFonts w:ascii="宋体" w:hAnsi="宋体" w:cs="宋体"/>
                <w:kern w:val="0"/>
                <w:sz w:val="18"/>
                <w:szCs w:val="18"/>
              </w:rPr>
              <w:t>3</w:t>
            </w:r>
            <w:r>
              <w:rPr>
                <w:rFonts w:hint="eastAsia" w:ascii="宋体" w:hAnsi="宋体" w:cs="宋体"/>
                <w:kern w:val="0"/>
                <w:sz w:val="18"/>
                <w:szCs w:val="18"/>
              </w:rPr>
              <w:t>月</w:t>
            </w:r>
            <w:r>
              <w:rPr>
                <w:rFonts w:ascii="宋体" w:hAnsi="宋体" w:cs="宋体"/>
                <w:kern w:val="0"/>
                <w:sz w:val="18"/>
                <w:szCs w:val="18"/>
              </w:rPr>
              <w:t>16</w:t>
            </w:r>
            <w:r>
              <w:rPr>
                <w:rFonts w:hint="eastAsia" w:ascii="宋体" w:hAnsi="宋体" w:cs="宋体"/>
                <w:kern w:val="0"/>
                <w:sz w:val="18"/>
                <w:szCs w:val="18"/>
              </w:rPr>
              <w:t>日（银行有权根据市场变化情况缩短或延长发行期并提前或推迟成立，产品提前或推迟成立时银行将调整相关日期并进行信息披露。）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成立日</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2021年</w:t>
            </w:r>
            <w:r>
              <w:rPr>
                <w:rFonts w:ascii="宋体" w:hAnsi="宋体" w:cs="宋体"/>
                <w:kern w:val="0"/>
                <w:sz w:val="18"/>
                <w:szCs w:val="18"/>
              </w:rPr>
              <w:t>3</w:t>
            </w:r>
            <w:r>
              <w:rPr>
                <w:rFonts w:hint="eastAsia" w:ascii="宋体" w:hAnsi="宋体" w:cs="宋体"/>
                <w:kern w:val="0"/>
                <w:sz w:val="18"/>
                <w:szCs w:val="18"/>
              </w:rPr>
              <w:t>月</w:t>
            </w:r>
            <w:r>
              <w:rPr>
                <w:rFonts w:ascii="宋体" w:hAnsi="宋体" w:cs="宋体"/>
                <w:kern w:val="0"/>
                <w:sz w:val="18"/>
                <w:szCs w:val="18"/>
              </w:rPr>
              <w:t>17</w:t>
            </w:r>
            <w:r>
              <w:rPr>
                <w:rFonts w:hint="eastAsia" w:ascii="宋体" w:hAnsi="宋体" w:cs="宋体"/>
                <w:kern w:val="0"/>
                <w:sz w:val="18"/>
                <w:szCs w:val="18"/>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理财存续期</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2021年</w:t>
            </w:r>
            <w:r>
              <w:rPr>
                <w:rFonts w:ascii="宋体" w:hAnsi="宋体" w:cs="宋体"/>
                <w:kern w:val="0"/>
                <w:sz w:val="18"/>
                <w:szCs w:val="18"/>
              </w:rPr>
              <w:t>3</w:t>
            </w:r>
            <w:r>
              <w:rPr>
                <w:rFonts w:hint="eastAsia" w:ascii="宋体" w:hAnsi="宋体" w:cs="宋体"/>
                <w:kern w:val="0"/>
                <w:sz w:val="18"/>
                <w:szCs w:val="18"/>
              </w:rPr>
              <w:t>月</w:t>
            </w:r>
            <w:r>
              <w:rPr>
                <w:rFonts w:ascii="宋体" w:hAnsi="宋体" w:cs="宋体"/>
                <w:kern w:val="0"/>
                <w:sz w:val="18"/>
                <w:szCs w:val="18"/>
              </w:rPr>
              <w:t>17</w:t>
            </w:r>
            <w:r>
              <w:rPr>
                <w:rFonts w:hint="eastAsia" w:ascii="宋体" w:hAnsi="宋体" w:cs="宋体"/>
                <w:kern w:val="0"/>
                <w:sz w:val="18"/>
                <w:szCs w:val="18"/>
              </w:rPr>
              <w:t>日—2021年</w:t>
            </w:r>
            <w:r>
              <w:rPr>
                <w:rFonts w:ascii="宋体" w:hAnsi="宋体" w:cs="宋体"/>
                <w:kern w:val="0"/>
                <w:sz w:val="18"/>
                <w:szCs w:val="18"/>
              </w:rPr>
              <w:t>9</w:t>
            </w:r>
            <w:r>
              <w:rPr>
                <w:rFonts w:hint="eastAsia" w:ascii="宋体" w:hAnsi="宋体" w:cs="宋体"/>
                <w:kern w:val="0"/>
                <w:sz w:val="18"/>
                <w:szCs w:val="18"/>
              </w:rPr>
              <w:t>月</w:t>
            </w:r>
            <w:r>
              <w:rPr>
                <w:rFonts w:ascii="宋体" w:hAnsi="宋体" w:cs="宋体"/>
                <w:kern w:val="0"/>
                <w:sz w:val="18"/>
                <w:szCs w:val="18"/>
              </w:rPr>
              <w:t>15</w:t>
            </w:r>
            <w:r>
              <w:rPr>
                <w:rFonts w:hint="eastAsia" w:ascii="宋体" w:hAnsi="宋体" w:cs="宋体"/>
                <w:kern w:val="0"/>
                <w:sz w:val="18"/>
                <w:szCs w:val="18"/>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名义到期日</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2021年</w:t>
            </w:r>
            <w:r>
              <w:rPr>
                <w:rFonts w:ascii="宋体" w:hAnsi="宋体" w:cs="宋体"/>
                <w:kern w:val="0"/>
                <w:sz w:val="18"/>
                <w:szCs w:val="18"/>
              </w:rPr>
              <w:t>9</w:t>
            </w:r>
            <w:r>
              <w:rPr>
                <w:rFonts w:hint="eastAsia" w:ascii="宋体" w:hAnsi="宋体" w:cs="宋体"/>
                <w:kern w:val="0"/>
                <w:sz w:val="18"/>
                <w:szCs w:val="18"/>
              </w:rPr>
              <w:t>月</w:t>
            </w:r>
            <w:r>
              <w:rPr>
                <w:rFonts w:ascii="宋体" w:hAnsi="宋体" w:cs="宋体"/>
                <w:kern w:val="0"/>
                <w:sz w:val="18"/>
                <w:szCs w:val="18"/>
              </w:rPr>
              <w:t>15</w:t>
            </w:r>
            <w:r>
              <w:rPr>
                <w:rFonts w:hint="eastAsia" w:ascii="宋体" w:hAnsi="宋体" w:cs="宋体"/>
                <w:kern w:val="0"/>
                <w:sz w:val="18"/>
                <w:szCs w:val="18"/>
              </w:rPr>
              <w:t>日</w:t>
            </w:r>
            <w:r>
              <w:rPr>
                <w:rFonts w:hint="eastAsia" w:ascii="宋体" w:hAnsi="宋体" w:cs="宋体"/>
                <w:b/>
                <w:bCs/>
                <w:kern w:val="0"/>
                <w:sz w:val="18"/>
                <w:szCs w:val="18"/>
              </w:rPr>
              <w:t>（如遇国家法定节假日，银行可结合国家法定节假日安排进行调整，并进行公告）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募集金额上限</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8亿元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风险等级</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根据本行理财产品内部风险评估，该产品风险等级为中级（本风险等级为本行内部风险评估结果，仅供参考）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发行对象</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适合风险承受能力为中级及以上（风险评级仅针对个人投资者）的个人和机构投资者购买。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投资起点金额</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个人投资者起点金额</w:t>
            </w:r>
            <w:r>
              <w:rPr>
                <w:rFonts w:hint="eastAsia" w:ascii="宋体" w:hAnsi="宋体" w:cs="宋体"/>
                <w:bCs/>
                <w:kern w:val="0"/>
                <w:sz w:val="18"/>
                <w:szCs w:val="18"/>
              </w:rPr>
              <w:t>1万元</w:t>
            </w:r>
            <w:r>
              <w:rPr>
                <w:rFonts w:hint="eastAsia" w:ascii="宋体" w:hAnsi="宋体" w:cs="宋体"/>
                <w:kern w:val="0"/>
                <w:sz w:val="18"/>
                <w:szCs w:val="18"/>
              </w:rPr>
              <w:t>人民币，以</w:t>
            </w:r>
            <w:r>
              <w:rPr>
                <w:rFonts w:hint="eastAsia" w:ascii="宋体" w:hAnsi="宋体" w:cs="宋体"/>
                <w:bCs/>
                <w:kern w:val="0"/>
                <w:sz w:val="18"/>
                <w:szCs w:val="18"/>
              </w:rPr>
              <w:t>1000元</w:t>
            </w:r>
            <w:r>
              <w:rPr>
                <w:rFonts w:hint="eastAsia" w:ascii="宋体" w:hAnsi="宋体" w:cs="宋体"/>
                <w:kern w:val="0"/>
                <w:sz w:val="18"/>
                <w:szCs w:val="18"/>
              </w:rPr>
              <w:t>的整数倍递增。</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机构投资者起点金额</w:t>
            </w:r>
            <w:r>
              <w:rPr>
                <w:rFonts w:hint="eastAsia" w:ascii="宋体" w:hAnsi="宋体" w:cs="宋体"/>
                <w:bCs/>
                <w:kern w:val="0"/>
                <w:sz w:val="18"/>
                <w:szCs w:val="18"/>
              </w:rPr>
              <w:t>1万元</w:t>
            </w:r>
            <w:r>
              <w:rPr>
                <w:rFonts w:hint="eastAsia" w:ascii="宋体" w:hAnsi="宋体" w:cs="宋体"/>
                <w:kern w:val="0"/>
                <w:sz w:val="18"/>
                <w:szCs w:val="18"/>
              </w:rPr>
              <w:t>人民币，以</w:t>
            </w:r>
            <w:r>
              <w:rPr>
                <w:rFonts w:hint="eastAsia" w:ascii="宋体" w:hAnsi="宋体" w:cs="宋体"/>
                <w:bCs/>
                <w:kern w:val="0"/>
                <w:sz w:val="18"/>
                <w:szCs w:val="18"/>
              </w:rPr>
              <w:t>1000元</w:t>
            </w:r>
            <w:r>
              <w:rPr>
                <w:rFonts w:hint="eastAsia" w:ascii="宋体" w:hAnsi="宋体" w:cs="宋体"/>
                <w:kern w:val="0"/>
                <w:sz w:val="18"/>
                <w:szCs w:val="18"/>
              </w:rPr>
              <w:t>的整数倍递增。</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后续在符合监管政策规定的条件下，银行有权对上述起点金额和递增金额进行调整，并在调整日前至少</w:t>
            </w:r>
            <w:r>
              <w:rPr>
                <w:rFonts w:ascii="宋体" w:hAnsi="宋体" w:cs="宋体"/>
                <w:kern w:val="0"/>
                <w:sz w:val="18"/>
                <w:szCs w:val="18"/>
              </w:rPr>
              <w:t>2</w:t>
            </w:r>
            <w:r>
              <w:rPr>
                <w:rFonts w:hint="eastAsia" w:ascii="宋体" w:hAnsi="宋体" w:cs="宋体"/>
                <w:kern w:val="0"/>
                <w:sz w:val="18"/>
                <w:szCs w:val="18"/>
              </w:rPr>
              <w:t>个工作日在银行官网进行公告。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认购份额计算方式</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bCs/>
                <w:kern w:val="0"/>
                <w:sz w:val="18"/>
                <w:szCs w:val="18"/>
              </w:rPr>
            </w:pPr>
            <w:r>
              <w:rPr>
                <w:rFonts w:hint="eastAsia" w:ascii="宋体" w:hAnsi="宋体" w:cs="宋体"/>
                <w:kern w:val="0"/>
                <w:sz w:val="18"/>
                <w:szCs w:val="18"/>
              </w:rPr>
              <w:t>认购份额=认购金额/认购确认日产品每份额净值</w:t>
            </w:r>
            <w:r>
              <w:rPr>
                <w:rFonts w:hint="eastAsia" w:ascii="宋体" w:hAnsi="宋体" w:cs="宋体"/>
                <w:color w:val="000000"/>
                <w:kern w:val="0"/>
                <w:sz w:val="18"/>
                <w:szCs w:val="18"/>
              </w:rPr>
              <w:t>（已扣除相关税收和费用）</w:t>
            </w:r>
            <w:r>
              <w:rPr>
                <w:rFonts w:hint="eastAsia" w:ascii="宋体" w:hAnsi="宋体" w:cs="宋体"/>
                <w:kern w:val="0"/>
                <w:sz w:val="18"/>
                <w:szCs w:val="18"/>
              </w:rPr>
              <w:t>，本产品认购确认日产品每份额净值为1。（按去尾法保留两位小数）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到期兑付金额计算方式</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bCs/>
                <w:kern w:val="0"/>
                <w:sz w:val="18"/>
                <w:szCs w:val="18"/>
              </w:rPr>
            </w:pPr>
            <w:r>
              <w:rPr>
                <w:rFonts w:hint="eastAsia" w:ascii="宋体" w:hAnsi="宋体" w:cs="宋体"/>
                <w:color w:val="000000"/>
                <w:kern w:val="0"/>
                <w:sz w:val="18"/>
                <w:szCs w:val="18"/>
              </w:rPr>
              <w:t>到期兑付金额=认购份额×期末</w:t>
            </w:r>
            <w:r>
              <w:rPr>
                <w:rFonts w:hint="eastAsia" w:ascii="宋体" w:hAnsi="宋体" w:cs="宋体"/>
                <w:kern w:val="0"/>
                <w:sz w:val="18"/>
                <w:szCs w:val="18"/>
              </w:rPr>
              <w:t>产品</w:t>
            </w:r>
            <w:r>
              <w:rPr>
                <w:rFonts w:hint="eastAsia" w:ascii="宋体" w:hAnsi="宋体" w:cs="宋体"/>
                <w:color w:val="000000"/>
                <w:kern w:val="0"/>
                <w:sz w:val="18"/>
                <w:szCs w:val="18"/>
              </w:rPr>
              <w:t>每份额净值（已扣除相关税收和费用）。</w:t>
            </w:r>
            <w:r>
              <w:rPr>
                <w:rFonts w:hint="eastAsia" w:ascii="宋体" w:hAnsi="宋体" w:cs="宋体"/>
                <w:kern w:val="0"/>
                <w:sz w:val="18"/>
                <w:szCs w:val="18"/>
              </w:rPr>
              <w:t>（按去尾法保留两位小数）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收益分配</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bCs/>
                <w:kern w:val="0"/>
                <w:sz w:val="18"/>
                <w:szCs w:val="18"/>
              </w:rPr>
            </w:pPr>
            <w:r>
              <w:rPr>
                <w:rFonts w:hint="eastAsia" w:ascii="宋体" w:hAnsi="宋体" w:cs="宋体"/>
                <w:bCs/>
                <w:kern w:val="0"/>
                <w:sz w:val="18"/>
                <w:szCs w:val="18"/>
              </w:rPr>
              <w:t>存续期满，根据理财资金所投资资产实际运作情况向客户支付到期款项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资金到账日</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bCs/>
                <w:kern w:val="0"/>
                <w:sz w:val="18"/>
                <w:szCs w:val="18"/>
              </w:rPr>
            </w:pPr>
            <w:r>
              <w:rPr>
                <w:rFonts w:hint="eastAsia" w:ascii="宋体" w:hAnsi="宋体" w:cs="宋体"/>
                <w:bCs/>
                <w:kern w:val="0"/>
                <w:sz w:val="18"/>
                <w:szCs w:val="18"/>
              </w:rPr>
              <w:t>产品实际到期日后5个工作日内划入销售文件约定的投资者授权指定账户。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6"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投资范围</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bCs/>
                <w:kern w:val="0"/>
                <w:sz w:val="18"/>
                <w:szCs w:val="18"/>
              </w:rPr>
            </w:pPr>
            <w:r>
              <w:rPr>
                <w:rFonts w:hint="eastAsia" w:ascii="宋体" w:hAnsi="宋体" w:cs="宋体"/>
                <w:bCs/>
                <w:kern w:val="0"/>
                <w:sz w:val="18"/>
                <w:szCs w:val="18"/>
              </w:rPr>
              <w:t>本理财产品的投资范围为固定收益类资产，包括国内依法发行的债券（国债、央行票据、金融债、地方政府债、公司信用类债券等）、资产支持证券、债券回购、银行存款（包括定期存款以及其他银行存款）、同业存单、货币市场工具、证券投资基金（主要为货币市场基金和债券基金）、固定收益类资产管理计划、非标准化债权类资产、以及国务院银行监督管理机构允许银行理财投资的金融工具。</w:t>
            </w:r>
          </w:p>
          <w:p>
            <w:pPr>
              <w:widowControl/>
              <w:spacing w:line="200" w:lineRule="exact"/>
              <w:jc w:val="left"/>
              <w:rPr>
                <w:rFonts w:ascii="宋体" w:hAnsi="宋体" w:cs="宋体"/>
                <w:bCs/>
                <w:kern w:val="0"/>
                <w:sz w:val="18"/>
                <w:szCs w:val="18"/>
              </w:rPr>
            </w:pPr>
            <w:r>
              <w:rPr>
                <w:rFonts w:hint="eastAsia" w:ascii="宋体" w:hAnsi="宋体" w:cs="宋体"/>
                <w:bCs/>
                <w:kern w:val="0"/>
                <w:sz w:val="18"/>
                <w:szCs w:val="18"/>
              </w:rPr>
              <w:t>如法律法规或监管机构以后允许银行理财产品投资其他品种，理财产品管理人在履行适当程序后，可以将其纳入投资范围，其投资比例遵循届时有效法律法规或相关规定。</w:t>
            </w:r>
          </w:p>
          <w:p>
            <w:pPr>
              <w:widowControl/>
              <w:spacing w:line="200" w:lineRule="exact"/>
              <w:jc w:val="left"/>
              <w:rPr>
                <w:rFonts w:ascii="宋体" w:hAnsi="宋体" w:cs="宋体"/>
                <w:bCs/>
                <w:kern w:val="0"/>
                <w:sz w:val="18"/>
                <w:szCs w:val="18"/>
              </w:rPr>
            </w:pPr>
            <w:r>
              <w:rPr>
                <w:rFonts w:hint="eastAsia" w:ascii="宋体" w:hAnsi="宋体" w:cs="宋体"/>
                <w:b/>
                <w:kern w:val="0"/>
                <w:sz w:val="18"/>
                <w:szCs w:val="18"/>
              </w:rPr>
              <w:t>本理财产品拟投资的非标准化债权类资产为同业借款，融资人为浦银金融租赁股份有限公司，融资人主体评级为AAA，资产剩余期限不超过产品期限。若本理财产品投资的非标准化债权资产有所调整，管理人将选择优质企业作为融资人，且资产项目已履行内部严格的审批流程，融资人业务经营正常，项目还款来源明确，并在本理财产品的定期报告中进行信息披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8"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投资比例</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bCs/>
                <w:kern w:val="0"/>
                <w:sz w:val="18"/>
                <w:szCs w:val="18"/>
              </w:rPr>
            </w:pPr>
            <w:r>
              <w:rPr>
                <w:rFonts w:hint="eastAsia" w:ascii="宋体" w:hAnsi="宋体" w:cs="宋体"/>
                <w:bCs/>
                <w:kern w:val="0"/>
                <w:sz w:val="18"/>
                <w:szCs w:val="18"/>
              </w:rPr>
              <w:t>本理财产品投资于固定收益类资产的比例为本理财产品总资产的</w:t>
            </w:r>
            <w:r>
              <w:rPr>
                <w:rFonts w:ascii="宋体" w:hAnsi="宋体" w:cs="宋体"/>
                <w:bCs/>
                <w:kern w:val="0"/>
                <w:sz w:val="18"/>
                <w:szCs w:val="18"/>
              </w:rPr>
              <w:t>100%</w:t>
            </w:r>
            <w:r>
              <w:rPr>
                <w:rFonts w:hint="eastAsia" w:ascii="宋体" w:hAnsi="宋体" w:cs="宋体"/>
                <w:bCs/>
                <w:kern w:val="0"/>
                <w:sz w:val="18"/>
                <w:szCs w:val="18"/>
              </w:rPr>
              <w:t>，其中投资于非标准化债权类资产的比例不高于本理财产品净资产的</w:t>
            </w:r>
            <w:r>
              <w:rPr>
                <w:rFonts w:ascii="宋体" w:hAnsi="宋体" w:cs="宋体"/>
                <w:bCs/>
                <w:kern w:val="0"/>
                <w:sz w:val="18"/>
                <w:szCs w:val="18"/>
              </w:rPr>
              <w:t>50%</w:t>
            </w:r>
            <w:r>
              <w:rPr>
                <w:rFonts w:hint="eastAsia" w:ascii="宋体" w:hAnsi="宋体" w:cs="宋体"/>
                <w:bCs/>
                <w:kern w:val="0"/>
                <w:sz w:val="18"/>
                <w:szCs w:val="18"/>
              </w:rPr>
              <w:t>。</w:t>
            </w:r>
          </w:p>
          <w:p>
            <w:pPr>
              <w:widowControl/>
              <w:spacing w:line="200" w:lineRule="exact"/>
              <w:jc w:val="left"/>
              <w:rPr>
                <w:rFonts w:ascii="宋体" w:hAnsi="宋体" w:cs="宋体"/>
                <w:bCs/>
                <w:kern w:val="0"/>
                <w:sz w:val="18"/>
                <w:szCs w:val="18"/>
              </w:rPr>
            </w:pPr>
            <w:r>
              <w:rPr>
                <w:rFonts w:hint="eastAsia" w:ascii="宋体" w:hAnsi="宋体" w:cs="宋体"/>
                <w:kern w:val="0"/>
                <w:sz w:val="18"/>
                <w:szCs w:val="18"/>
              </w:rPr>
              <w:t>注：非因银行主观因素导致突破上述比例限制的，银行将在流动性受限资产可出售、可转让或者恢复交易的15个交易日内将投资比例调整至符合至说明书约定的范围。</w:t>
            </w:r>
            <w:r>
              <w:rPr>
                <w:rFonts w:hint="eastAsia" w:ascii="宋体" w:hAnsi="宋体" w:cs="宋体"/>
                <w:bCs/>
                <w:kern w:val="0"/>
                <w:sz w:val="18"/>
                <w:szCs w:val="18"/>
              </w:rPr>
              <w:t>如果法律法规或者监管机构变更投资品种的投资比例限制，理财产品管理人在履行适当程序后，可以调整上述投资品种的投资比例。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投资策略</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bCs/>
                <w:kern w:val="0"/>
                <w:sz w:val="18"/>
                <w:szCs w:val="18"/>
              </w:rPr>
              <w:t>本产品在严格控制风险（包括流动性风险、市场风险、信用风险）的前提下，以自上而下的经济基本面分析为基础，合理筛选资产，力争实现资产的稳健增长。本产品所投资的非标准化债权类资产的终止日不晚于本产品到期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业绩比较基准</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4.00%</w:t>
            </w:r>
          </w:p>
          <w:p>
            <w:pPr>
              <w:widowControl/>
              <w:spacing w:line="200" w:lineRule="exact"/>
              <w:jc w:val="left"/>
              <w:rPr>
                <w:rFonts w:ascii="宋体" w:hAnsi="宋体" w:cs="宋体"/>
                <w:kern w:val="0"/>
                <w:sz w:val="18"/>
                <w:szCs w:val="18"/>
              </w:rPr>
            </w:pPr>
            <w:r>
              <w:rPr>
                <w:rFonts w:hint="eastAsia" w:ascii="宋体" w:hAnsi="宋体"/>
                <w:b/>
                <w:sz w:val="18"/>
                <w:szCs w:val="18"/>
              </w:rPr>
              <w:t>本产品为净值型理财产品，没有预期收益率。本行提醒投资者关注，业绩比较基准并不代表实际收益率，仅作为银行业绩报酬计提依据。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费用</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申购费：本理财产品暂不收取申购费。</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赎回费：本理财产品暂不收取赎回费。</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销售费：本理财产品收取年化</w:t>
            </w:r>
            <w:r>
              <w:rPr>
                <w:rFonts w:ascii="宋体" w:hAnsi="宋体" w:cs="宋体"/>
                <w:bCs/>
                <w:kern w:val="0"/>
                <w:sz w:val="18"/>
                <w:szCs w:val="18"/>
              </w:rPr>
              <w:t>0.2%的销售费</w:t>
            </w:r>
            <w:r>
              <w:rPr>
                <w:rFonts w:hint="eastAsia" w:ascii="宋体" w:hAnsi="宋体" w:cs="宋体"/>
                <w:kern w:val="0"/>
                <w:sz w:val="18"/>
                <w:szCs w:val="18"/>
              </w:rPr>
              <w:t>，按日计提。</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管理费：本理财产品收取年化0.</w:t>
            </w:r>
            <w:r>
              <w:rPr>
                <w:rFonts w:ascii="宋体" w:hAnsi="宋体" w:cs="宋体"/>
                <w:kern w:val="0"/>
                <w:sz w:val="18"/>
                <w:szCs w:val="18"/>
              </w:rPr>
              <w:t>35</w:t>
            </w:r>
            <w:r>
              <w:rPr>
                <w:rFonts w:hint="eastAsia" w:ascii="宋体" w:hAnsi="宋体" w:cs="宋体"/>
                <w:bCs/>
                <w:kern w:val="0"/>
                <w:sz w:val="18"/>
                <w:szCs w:val="18"/>
              </w:rPr>
              <w:t>%的固定管理费</w:t>
            </w:r>
            <w:r>
              <w:rPr>
                <w:rFonts w:hint="eastAsia" w:ascii="宋体" w:hAnsi="宋体" w:cs="宋体"/>
                <w:kern w:val="0"/>
                <w:sz w:val="18"/>
                <w:szCs w:val="18"/>
              </w:rPr>
              <w:t>，按日计提。</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业绩报酬：如本产品到期时投资的实际资产组合收益（扣除销售费、固定管理费、托管费等相关费用）超过4</w:t>
            </w:r>
            <w:r>
              <w:rPr>
                <w:rFonts w:ascii="宋体" w:hAnsi="宋体" w:cs="宋体"/>
                <w:kern w:val="0"/>
                <w:sz w:val="18"/>
                <w:szCs w:val="18"/>
              </w:rPr>
              <w:t>.00</w:t>
            </w:r>
            <w:r>
              <w:rPr>
                <w:rFonts w:hint="eastAsia" w:ascii="宋体" w:hAnsi="宋体" w:cs="宋体"/>
                <w:kern w:val="0"/>
                <w:sz w:val="18"/>
                <w:szCs w:val="18"/>
              </w:rPr>
              <w:t>%（年化收益）时，超过部分管理人将按</w:t>
            </w:r>
            <w:r>
              <w:rPr>
                <w:rFonts w:ascii="宋体" w:hAnsi="宋体" w:cs="宋体"/>
                <w:kern w:val="0"/>
                <w:sz w:val="18"/>
                <w:szCs w:val="18"/>
              </w:rPr>
              <w:t>40</w:t>
            </w:r>
            <w:r>
              <w:rPr>
                <w:rFonts w:hint="eastAsia" w:ascii="宋体" w:hAnsi="宋体" w:cs="宋体"/>
                <w:bCs/>
                <w:kern w:val="0"/>
                <w:sz w:val="18"/>
                <w:szCs w:val="18"/>
              </w:rPr>
              <w:t>%收取业绩报酬</w:t>
            </w:r>
            <w:r>
              <w:rPr>
                <w:rFonts w:hint="eastAsia" w:ascii="宋体" w:hAnsi="宋体" w:cs="宋体"/>
                <w:kern w:val="0"/>
                <w:sz w:val="18"/>
                <w:szCs w:val="18"/>
              </w:rPr>
              <w:t>。</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托管费：本理财产品收取年化</w:t>
            </w:r>
            <w:r>
              <w:rPr>
                <w:rFonts w:hint="eastAsia" w:ascii="宋体" w:hAnsi="宋体" w:cs="宋体"/>
                <w:bCs/>
                <w:kern w:val="0"/>
                <w:sz w:val="18"/>
                <w:szCs w:val="18"/>
              </w:rPr>
              <w:t>0.02%的托管费</w:t>
            </w:r>
            <w:r>
              <w:rPr>
                <w:rFonts w:hint="eastAsia" w:ascii="宋体" w:hAnsi="宋体" w:cs="宋体"/>
                <w:kern w:val="0"/>
                <w:sz w:val="18"/>
                <w:szCs w:val="18"/>
              </w:rPr>
              <w:t>，按日计提。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风险事件说明</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具体详见本理财产品风险揭示书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理财产品管理人</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南京银行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7"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托管人及托管人职责</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本理财产品托管人为南京银行，主要职责如下：</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1、安全保管理财产品财产；</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2、为每只理财产品开设独立的托管账户，不同托管账户中的资产应当相互独立；</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3、按照托管协议约定和管理人的投资指令，及时办理清算、交割事宜；</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4、建立与管理人的对账机制，复核、审查理财产品资金头寸、资产账目、资产净值、认购和赎回价格等数据，及时核查认购、赎回以及投资资金的支付和到账情况；</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5、监督理财产品投资运作，发现理财产品违反法律、行政法规、规章规定或合同约定进行投资的，应当拒绝执行，及时通知管理人并报告银行业监督管理机构；</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7、理财托管业务活动的记录、账册、报表和其他相关资料保存15年以上；</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8、对理财产品投资信息和相关资料承担保密责任，除法律、行政法规、规章规定、审计要求或者合同约定外，不得向任何机构或者个人提供相关信息和资料；</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9、国务院银行业监督管理机构规定的其他职责。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65"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sz w:val="20"/>
                <w:szCs w:val="18"/>
              </w:rPr>
            </w:pPr>
            <w:r>
              <w:rPr>
                <w:kern w:val="0"/>
                <w:sz w:val="18"/>
                <w:szCs w:val="18"/>
              </w:rPr>
              <w:t>拟进行合作的理财投资合作机构</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合作机构包括但不限于理财产品所投资资产管理产品的发行机构、根据合同约定从事理财产品受托投资的机构以及与理财产品投资管理相关的投资顾问等；主要职责为进行受托资金的投资管理，根据合同约定从事受托投资或提供投资顾问等服务，具体职责以管理人与投资合作机构签署的合同为准。本理财产品合作机构为鑫元基金管理有限公司、中融基金管理有限公司等，合作机构将按照合同约定进行受托资金的投资管理。</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若上述合作机构及其职责发生调整，管理人将在本理财产品的定期报告中进行信息披露。</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鑫元基金管理有限公司成立于2013年8月，注册资本金17亿元；中融基金管理有限公司成立于2013年5月，注册资本金为7.5亿。两家合作机构许可经营项目是：基金募集、基金销售、特定客户资产管理、资产管理和中国证监会许可的其他业务。（依法须经批准的项目，经相关部门批准后方可开展经营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其他说明事项</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银行在本理财产品存续期间按周在银行官网上向投资者披露相关净值，并按监管要求披露定期报告和其他重要信息。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税务处理</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本理财产品运作过程中涉及的各纳税主体，其纳税义务按国家税收法律、法规执行。理财产品运营过程中发生的增值税应税行为，由银行作为增值税纳税人进行缴纳，税金由该理财产品承担。除法律法规特别要求外，投资者应缴纳的税收由投资者负责，银行不负责代扣代缴。</w:t>
            </w:r>
          </w:p>
        </w:tc>
      </w:tr>
    </w:tbl>
    <w:p>
      <w:pPr>
        <w:widowControl/>
        <w:spacing w:line="200" w:lineRule="exact"/>
        <w:jc w:val="left"/>
        <w:rPr>
          <w:rFonts w:ascii="宋体" w:hAnsi="宋体" w:cs="宋体"/>
          <w:b/>
          <w:color w:val="3D3D3D"/>
          <w:kern w:val="0"/>
          <w:sz w:val="13"/>
          <w:szCs w:val="11"/>
        </w:rPr>
      </w:pPr>
      <w:r>
        <w:rPr>
          <w:rFonts w:hint="eastAsia" w:ascii="宋体" w:hAnsi="宋体" w:cs="宋体"/>
          <w:color w:val="3D3D3D"/>
          <w:kern w:val="0"/>
          <w:sz w:val="13"/>
          <w:szCs w:val="11"/>
        </w:rPr>
        <w:t>　</w:t>
      </w:r>
      <w:r>
        <w:rPr>
          <w:rFonts w:hint="eastAsia" w:ascii="宋体" w:hAnsi="宋体" w:cs="宋体"/>
          <w:color w:val="3D3D3D"/>
          <w:kern w:val="0"/>
          <w:sz w:val="15"/>
          <w:szCs w:val="11"/>
        </w:rPr>
        <w:t>　</w:t>
      </w:r>
      <w:r>
        <w:rPr>
          <w:rFonts w:hint="eastAsia" w:ascii="宋体" w:hAnsi="宋体" w:cs="宋体"/>
          <w:b/>
          <w:color w:val="3D3D3D"/>
          <w:kern w:val="0"/>
          <w:sz w:val="15"/>
          <w:szCs w:val="11"/>
        </w:rPr>
        <w:t>特别说明：本理财产品无预期收益率，</w:t>
      </w:r>
      <w:r>
        <w:rPr>
          <w:rFonts w:hint="eastAsia" w:ascii="宋体" w:hAnsi="宋体" w:cs="宋体"/>
          <w:b/>
          <w:color w:val="3D3D3D"/>
          <w:kern w:val="0"/>
          <w:sz w:val="15"/>
          <w:szCs w:val="13"/>
          <w:u w:val="single"/>
        </w:rPr>
        <w:t>理财产品过往业绩不代表其未来表现，不等于理财产品实际收益，</w:t>
      </w:r>
      <w:r>
        <w:rPr>
          <w:rFonts w:hint="eastAsia" w:ascii="宋体" w:hAnsi="宋体" w:cs="宋体"/>
          <w:b/>
          <w:color w:val="3D3D3D"/>
          <w:kern w:val="0"/>
          <w:sz w:val="15"/>
          <w:szCs w:val="11"/>
        </w:rPr>
        <w:t>投资须谨慎。</w:t>
      </w:r>
    </w:p>
    <w:p>
      <w:pPr>
        <w:widowControl/>
        <w:spacing w:line="200" w:lineRule="exact"/>
        <w:ind w:firstLine="300" w:firstLineChars="200"/>
        <w:jc w:val="left"/>
        <w:rPr>
          <w:rFonts w:ascii="宋体" w:hAnsi="宋体" w:cs="宋体"/>
          <w:kern w:val="0"/>
          <w:sz w:val="15"/>
          <w:szCs w:val="11"/>
        </w:rPr>
      </w:pPr>
      <w:r>
        <w:rPr>
          <w:rFonts w:hint="eastAsia" w:ascii="宋体" w:hAnsi="宋体" w:cs="宋体"/>
          <w:color w:val="000000"/>
          <w:kern w:val="0"/>
          <w:sz w:val="15"/>
          <w:szCs w:val="11"/>
        </w:rPr>
        <w:t xml:space="preserve">第二条 </w:t>
      </w:r>
      <w:r>
        <w:rPr>
          <w:rFonts w:hint="eastAsia" w:ascii="宋体" w:hAnsi="宋体" w:cs="宋体"/>
          <w:kern w:val="0"/>
          <w:sz w:val="15"/>
          <w:szCs w:val="11"/>
        </w:rPr>
        <w:t>情景示例（以下情景分析采用假设数据计算，仅为举例之用）</w:t>
      </w:r>
    </w:p>
    <w:p>
      <w:pPr>
        <w:widowControl/>
        <w:spacing w:line="200" w:lineRule="exact"/>
        <w:ind w:firstLine="300" w:firstLineChars="200"/>
        <w:jc w:val="left"/>
        <w:rPr>
          <w:rFonts w:ascii="宋体" w:hAnsi="宋体" w:cs="宋体"/>
          <w:color w:val="000000"/>
          <w:kern w:val="0"/>
          <w:sz w:val="15"/>
          <w:szCs w:val="11"/>
        </w:rPr>
      </w:pPr>
      <w:r>
        <w:rPr>
          <w:rFonts w:hint="eastAsia" w:ascii="宋体" w:hAnsi="宋体" w:cs="宋体"/>
          <w:color w:val="000000"/>
          <w:kern w:val="0"/>
          <w:sz w:val="15"/>
          <w:szCs w:val="11"/>
        </w:rPr>
        <w:t>假设投资者投资本理财产品10万元，成立日当日产品净值为1.0000元，折算份额100000份。产品期末，扣除所有税费后的期末产品每份额净值为1.0500，则客户在资金到帐日收到赎回款项为105000元。</w:t>
      </w:r>
    </w:p>
    <w:p>
      <w:pPr>
        <w:widowControl/>
        <w:spacing w:line="200" w:lineRule="exact"/>
        <w:ind w:firstLine="300" w:firstLineChars="200"/>
        <w:jc w:val="left"/>
        <w:rPr>
          <w:rFonts w:ascii="宋体" w:hAnsi="宋体" w:cs="宋体"/>
          <w:color w:val="000000"/>
          <w:kern w:val="0"/>
          <w:sz w:val="15"/>
          <w:szCs w:val="11"/>
        </w:rPr>
      </w:pPr>
      <w:r>
        <w:rPr>
          <w:rFonts w:hint="eastAsia" w:ascii="宋体" w:hAnsi="宋体" w:cs="宋体"/>
          <w:color w:val="000000"/>
          <w:kern w:val="0"/>
          <w:sz w:val="15"/>
          <w:szCs w:val="11"/>
        </w:rPr>
        <w:t>设投资者投资本理财产品10万元，成立日当日产品净值为1.0000元，折算份额100000份。产品期末，扣除所有税费后的期末产品每份额净值为0.9000，则客户在资金到帐日收到赎回款项为90000元。</w:t>
      </w:r>
    </w:p>
    <w:p>
      <w:pPr>
        <w:widowControl/>
        <w:spacing w:line="200" w:lineRule="exact"/>
        <w:ind w:firstLine="301" w:firstLineChars="200"/>
        <w:jc w:val="left"/>
        <w:rPr>
          <w:rFonts w:ascii="宋体" w:hAnsi="宋体" w:cs="宋体"/>
          <w:kern w:val="0"/>
          <w:sz w:val="15"/>
          <w:szCs w:val="11"/>
        </w:rPr>
      </w:pPr>
      <w:r>
        <w:rPr>
          <w:rFonts w:hint="eastAsia" w:ascii="宋体" w:hAnsi="宋体" w:cs="宋体"/>
          <w:b/>
          <w:bCs/>
          <w:kern w:val="0"/>
          <w:sz w:val="15"/>
          <w:szCs w:val="11"/>
        </w:rPr>
        <w:t>特别提请投资者注意的是，上述收益率测算仅为情景示例，</w:t>
      </w:r>
      <w:r>
        <w:rPr>
          <w:rFonts w:ascii="宋体" w:hAnsi="宋体" w:cs="宋体"/>
          <w:b/>
          <w:bCs/>
          <w:kern w:val="0"/>
          <w:sz w:val="15"/>
          <w:szCs w:val="11"/>
        </w:rPr>
        <w:t>不代表未来业绩，也不成为确定本理财产品预期收益率以及实现本理财产品最终收益率的可靠依据。本理财最终收益率实现将视市场情况等因素而定，敬请</w:t>
      </w:r>
      <w:r>
        <w:rPr>
          <w:rFonts w:hint="eastAsia" w:ascii="宋体" w:hAnsi="宋体" w:cs="宋体"/>
          <w:b/>
          <w:bCs/>
          <w:kern w:val="0"/>
          <w:sz w:val="15"/>
          <w:szCs w:val="11"/>
        </w:rPr>
        <w:t>投资者</w:t>
      </w:r>
      <w:r>
        <w:rPr>
          <w:rFonts w:ascii="宋体" w:hAnsi="宋体" w:cs="宋体"/>
          <w:b/>
          <w:bCs/>
          <w:kern w:val="0"/>
          <w:sz w:val="15"/>
          <w:szCs w:val="11"/>
        </w:rPr>
        <w:t>仔细判别。</w:t>
      </w:r>
    </w:p>
    <w:p>
      <w:pPr>
        <w:widowControl/>
        <w:spacing w:line="200" w:lineRule="exact"/>
        <w:ind w:firstLine="301" w:firstLineChars="200"/>
        <w:jc w:val="left"/>
        <w:rPr>
          <w:rFonts w:ascii="宋体" w:hAnsi="宋体" w:cs="宋体"/>
          <w:b/>
          <w:bCs/>
          <w:kern w:val="0"/>
          <w:sz w:val="15"/>
          <w:szCs w:val="11"/>
        </w:rPr>
      </w:pPr>
      <w:r>
        <w:rPr>
          <w:rFonts w:hint="eastAsia" w:ascii="宋体" w:hAnsi="宋体" w:cs="宋体"/>
          <w:b/>
          <w:bCs/>
          <w:kern w:val="0"/>
          <w:sz w:val="15"/>
          <w:szCs w:val="11"/>
        </w:rPr>
        <w:t>风险提示：银行不承诺本理财产品保本保收益，在最不利的情况下，可能出现包括但不限于因本理财产品所投资资产的交易对手、发行人、债务人或担保人等违约或者其他非属银行过错的原因，导致本理财产品的本金和收益未能按时足额收回，产品运作到期后投资者无收益，并将损失全部本金的风险。</w:t>
      </w:r>
    </w:p>
    <w:p>
      <w:pPr>
        <w:widowControl/>
        <w:spacing w:line="200" w:lineRule="exact"/>
        <w:ind w:firstLine="270"/>
        <w:jc w:val="left"/>
        <w:rPr>
          <w:rFonts w:ascii="宋体" w:hAnsi="宋体" w:cs="宋体"/>
          <w:kern w:val="0"/>
          <w:sz w:val="15"/>
          <w:szCs w:val="11"/>
        </w:rPr>
      </w:pPr>
      <w:r>
        <w:rPr>
          <w:rFonts w:hint="eastAsia" w:ascii="宋体" w:hAnsi="宋体" w:cs="宋体"/>
          <w:kern w:val="0"/>
          <w:sz w:val="15"/>
          <w:szCs w:val="11"/>
        </w:rPr>
        <w:t>第三条 理财产品估值</w:t>
      </w:r>
    </w:p>
    <w:p>
      <w:pPr>
        <w:widowControl/>
        <w:spacing w:line="200" w:lineRule="exact"/>
        <w:jc w:val="left"/>
        <w:rPr>
          <w:rFonts w:ascii="宋体" w:hAnsi="宋体" w:cs="宋体"/>
          <w:color w:val="000000"/>
          <w:kern w:val="0"/>
          <w:sz w:val="15"/>
          <w:szCs w:val="11"/>
        </w:rPr>
      </w:pPr>
      <w:r>
        <w:rPr>
          <w:rFonts w:hint="eastAsia" w:ascii="宋体" w:hAnsi="宋体" w:cs="宋体"/>
          <w:color w:val="000000"/>
          <w:kern w:val="0"/>
          <w:sz w:val="15"/>
          <w:szCs w:val="11"/>
        </w:rPr>
        <w:t xml:space="preserve">   （一）估值日</w:t>
      </w:r>
    </w:p>
    <w:p>
      <w:pPr>
        <w:widowControl/>
        <w:spacing w:line="200" w:lineRule="exact"/>
        <w:jc w:val="left"/>
        <w:rPr>
          <w:rFonts w:ascii="宋体" w:hAnsi="宋体" w:cs="宋体"/>
          <w:color w:val="000000"/>
          <w:kern w:val="0"/>
          <w:sz w:val="15"/>
          <w:szCs w:val="11"/>
        </w:rPr>
      </w:pPr>
      <w:r>
        <w:rPr>
          <w:rFonts w:hint="eastAsia" w:ascii="宋体" w:hAnsi="宋体" w:cs="宋体"/>
          <w:color w:val="000000"/>
          <w:kern w:val="0"/>
          <w:sz w:val="15"/>
          <w:szCs w:val="11"/>
          <w:lang w:val="zh-CN"/>
        </w:rPr>
        <w:t>本理财产品每工作日进行估值。</w:t>
      </w:r>
    </w:p>
    <w:p>
      <w:pPr>
        <w:widowControl/>
        <w:spacing w:line="200" w:lineRule="exact"/>
        <w:jc w:val="left"/>
        <w:rPr>
          <w:rFonts w:ascii="宋体" w:hAnsi="宋体" w:cs="宋体"/>
          <w:color w:val="000000"/>
          <w:kern w:val="0"/>
          <w:sz w:val="15"/>
          <w:szCs w:val="11"/>
        </w:rPr>
      </w:pPr>
      <w:r>
        <w:rPr>
          <w:rFonts w:hint="eastAsia" w:ascii="宋体" w:hAnsi="宋体" w:cs="宋体"/>
          <w:color w:val="000000"/>
          <w:kern w:val="0"/>
          <w:sz w:val="15"/>
          <w:szCs w:val="11"/>
        </w:rPr>
        <w:t xml:space="preserve">   （二）估值对象</w:t>
      </w:r>
    </w:p>
    <w:p>
      <w:pPr>
        <w:widowControl/>
        <w:spacing w:line="200" w:lineRule="exact"/>
        <w:jc w:val="left"/>
        <w:rPr>
          <w:rFonts w:ascii="宋体" w:hAnsi="宋体" w:cs="宋体"/>
          <w:color w:val="000000"/>
          <w:kern w:val="0"/>
          <w:sz w:val="15"/>
          <w:szCs w:val="11"/>
        </w:rPr>
      </w:pPr>
      <w:r>
        <w:rPr>
          <w:rFonts w:hint="eastAsia" w:ascii="宋体" w:hAnsi="宋体" w:cs="宋体"/>
          <w:color w:val="000000"/>
          <w:kern w:val="0"/>
          <w:sz w:val="15"/>
          <w:szCs w:val="11"/>
        </w:rPr>
        <w:t xml:space="preserve">    本理财产品所拥有的所有金融资产及金融负债。</w:t>
      </w:r>
    </w:p>
    <w:p>
      <w:pPr>
        <w:widowControl/>
        <w:spacing w:line="200" w:lineRule="exact"/>
        <w:jc w:val="left"/>
        <w:rPr>
          <w:rFonts w:ascii="宋体" w:hAnsi="宋体" w:cs="宋体"/>
          <w:color w:val="000000"/>
          <w:kern w:val="0"/>
          <w:sz w:val="15"/>
          <w:szCs w:val="11"/>
        </w:rPr>
      </w:pPr>
      <w:r>
        <w:rPr>
          <w:rFonts w:hint="eastAsia" w:ascii="宋体" w:hAnsi="宋体" w:cs="宋体"/>
          <w:color w:val="000000"/>
          <w:kern w:val="0"/>
          <w:sz w:val="15"/>
          <w:szCs w:val="11"/>
        </w:rPr>
        <w:t xml:space="preserve">   （三）估值目的</w:t>
      </w:r>
    </w:p>
    <w:p>
      <w:pPr>
        <w:widowControl/>
        <w:spacing w:line="200" w:lineRule="exact"/>
        <w:jc w:val="left"/>
        <w:rPr>
          <w:rFonts w:ascii="宋体" w:hAnsi="宋体" w:cs="宋体"/>
          <w:color w:val="000000"/>
          <w:kern w:val="0"/>
          <w:sz w:val="15"/>
          <w:szCs w:val="11"/>
        </w:rPr>
      </w:pPr>
      <w:r>
        <w:rPr>
          <w:rFonts w:hint="eastAsia" w:ascii="宋体" w:hAnsi="宋体" w:cs="宋体"/>
          <w:color w:val="000000"/>
          <w:kern w:val="0"/>
          <w:sz w:val="15"/>
          <w:szCs w:val="11"/>
        </w:rPr>
        <w:t xml:space="preserve">    客观、准确反映理财产品的价值。</w:t>
      </w:r>
    </w:p>
    <w:p>
      <w:pPr>
        <w:widowControl/>
        <w:spacing w:line="200" w:lineRule="exact"/>
        <w:jc w:val="left"/>
        <w:rPr>
          <w:rFonts w:ascii="宋体" w:hAnsi="宋体" w:cs="宋体"/>
          <w:color w:val="000000"/>
          <w:kern w:val="0"/>
          <w:sz w:val="15"/>
          <w:szCs w:val="11"/>
        </w:rPr>
      </w:pPr>
      <w:r>
        <w:rPr>
          <w:rFonts w:hint="eastAsia" w:ascii="宋体" w:hAnsi="宋体" w:cs="宋体"/>
          <w:color w:val="000000"/>
          <w:kern w:val="0"/>
          <w:sz w:val="15"/>
          <w:szCs w:val="11"/>
        </w:rPr>
        <w:t xml:space="preserve">   （四）估值方法</w:t>
      </w:r>
    </w:p>
    <w:p>
      <w:pPr>
        <w:widowControl/>
        <w:spacing w:line="200" w:lineRule="exact"/>
        <w:ind w:firstLine="300" w:firstLineChars="200"/>
        <w:jc w:val="left"/>
        <w:rPr>
          <w:rFonts w:ascii="宋体" w:hAnsi="宋体" w:cs="宋体"/>
          <w:color w:val="000000"/>
          <w:kern w:val="0"/>
          <w:sz w:val="15"/>
          <w:szCs w:val="11"/>
        </w:rPr>
      </w:pPr>
      <w:r>
        <w:rPr>
          <w:rFonts w:hint="eastAsia" w:ascii="宋体" w:hAnsi="宋体" w:cs="宋体"/>
          <w:color w:val="000000"/>
          <w:kern w:val="0"/>
          <w:sz w:val="15"/>
          <w:szCs w:val="11"/>
        </w:rPr>
        <w:t>本理财产品所持有资产，符合以下条件之一的，可以摊余成本法进行计量：（一）所投金融资产以收取合同现金流量为目的并持有到期；（二）所投金融资产暂不具备活跃交易市场，或者在活跃市场中没有报价、也不能采用估值技术可靠计量公允价值。</w:t>
      </w:r>
    </w:p>
    <w:p>
      <w:pPr>
        <w:widowControl/>
        <w:spacing w:line="200" w:lineRule="exact"/>
        <w:ind w:firstLine="300" w:firstLineChars="200"/>
        <w:jc w:val="left"/>
        <w:rPr>
          <w:rFonts w:ascii="宋体" w:hAnsi="宋体" w:cs="宋体"/>
          <w:color w:val="000000"/>
          <w:kern w:val="0"/>
          <w:sz w:val="15"/>
          <w:szCs w:val="11"/>
        </w:rPr>
      </w:pPr>
      <w:r>
        <w:rPr>
          <w:rFonts w:hint="eastAsia" w:ascii="宋体" w:hAnsi="宋体" w:cs="宋体"/>
          <w:color w:val="000000"/>
          <w:kern w:val="0"/>
          <w:sz w:val="15"/>
          <w:szCs w:val="11"/>
        </w:rPr>
        <w:t>具体资产估值方法如下：</w:t>
      </w:r>
    </w:p>
    <w:p>
      <w:pPr>
        <w:widowControl/>
        <w:spacing w:line="200" w:lineRule="exact"/>
        <w:ind w:firstLine="300" w:firstLineChars="200"/>
        <w:jc w:val="left"/>
        <w:rPr>
          <w:rFonts w:ascii="宋体" w:hAnsi="宋体" w:cs="宋体"/>
          <w:color w:val="000000"/>
          <w:kern w:val="0"/>
          <w:sz w:val="15"/>
          <w:szCs w:val="11"/>
        </w:rPr>
      </w:pPr>
      <w:r>
        <w:rPr>
          <w:rFonts w:hint="eastAsia" w:ascii="宋体" w:hAnsi="宋体" w:cs="宋体"/>
          <w:color w:val="000000"/>
          <w:kern w:val="0"/>
          <w:sz w:val="15"/>
          <w:szCs w:val="11"/>
        </w:rPr>
        <w:t>1.银行存款、回购、借款和拆借以成本列示，按商定利率在实际持有期间内逐日计提利息。</w:t>
      </w:r>
    </w:p>
    <w:p>
      <w:pPr>
        <w:widowControl/>
        <w:spacing w:line="200" w:lineRule="exact"/>
        <w:ind w:firstLine="300" w:firstLineChars="200"/>
        <w:jc w:val="left"/>
        <w:rPr>
          <w:rFonts w:ascii="宋体" w:hAnsi="宋体" w:cs="宋体"/>
          <w:color w:val="000000"/>
          <w:kern w:val="0"/>
          <w:sz w:val="15"/>
          <w:szCs w:val="11"/>
        </w:rPr>
      </w:pPr>
      <w:r>
        <w:rPr>
          <w:rFonts w:hint="eastAsia" w:ascii="宋体" w:hAnsi="宋体" w:cs="宋体"/>
          <w:color w:val="000000"/>
          <w:kern w:val="0"/>
          <w:sz w:val="15"/>
          <w:szCs w:val="11"/>
        </w:rPr>
        <w:t xml:space="preserve">2.证券投资基金按照最近一个估值日公布的基金净值进行估值。    </w:t>
      </w:r>
    </w:p>
    <w:p>
      <w:pPr>
        <w:widowControl/>
        <w:spacing w:line="200" w:lineRule="exact"/>
        <w:ind w:firstLine="300" w:firstLineChars="200"/>
        <w:jc w:val="left"/>
        <w:rPr>
          <w:rFonts w:ascii="宋体" w:hAnsi="宋体" w:cs="宋体"/>
          <w:color w:val="000000"/>
          <w:kern w:val="0"/>
          <w:sz w:val="15"/>
          <w:szCs w:val="11"/>
        </w:rPr>
      </w:pPr>
      <w:r>
        <w:rPr>
          <w:rFonts w:hint="eastAsia" w:ascii="宋体" w:hAnsi="宋体" w:cs="宋体"/>
          <w:color w:val="000000"/>
          <w:kern w:val="0"/>
          <w:sz w:val="15"/>
          <w:szCs w:val="11"/>
        </w:rPr>
        <w:t>3.债券的估值方法</w:t>
      </w:r>
    </w:p>
    <w:p>
      <w:pPr>
        <w:widowControl/>
        <w:spacing w:line="200" w:lineRule="exact"/>
        <w:jc w:val="left"/>
        <w:rPr>
          <w:rFonts w:ascii="宋体" w:hAnsi="宋体" w:cs="宋体"/>
          <w:color w:val="000000"/>
          <w:kern w:val="0"/>
          <w:sz w:val="15"/>
          <w:szCs w:val="11"/>
        </w:rPr>
      </w:pPr>
      <w:r>
        <w:rPr>
          <w:rFonts w:hint="eastAsia" w:ascii="宋体" w:hAnsi="宋体" w:cs="宋体"/>
          <w:color w:val="000000"/>
          <w:kern w:val="0"/>
          <w:sz w:val="15"/>
          <w:szCs w:val="11"/>
        </w:rPr>
        <w:t xml:space="preserve">    （1）以持有到期为目的持有的债券按摊余成本法估值；</w:t>
      </w:r>
    </w:p>
    <w:p>
      <w:pPr>
        <w:widowControl/>
        <w:spacing w:line="200" w:lineRule="exact"/>
        <w:jc w:val="left"/>
        <w:rPr>
          <w:rFonts w:ascii="宋体" w:hAnsi="宋体" w:cs="宋体"/>
          <w:color w:val="000000"/>
          <w:kern w:val="0"/>
          <w:sz w:val="15"/>
          <w:szCs w:val="11"/>
        </w:rPr>
      </w:pPr>
      <w:r>
        <w:rPr>
          <w:rFonts w:hint="eastAsia" w:ascii="宋体" w:hAnsi="宋体" w:cs="宋体"/>
          <w:color w:val="000000"/>
          <w:kern w:val="0"/>
          <w:sz w:val="15"/>
          <w:szCs w:val="11"/>
        </w:rPr>
        <w:t xml:space="preserve">    （2）以交易为目的持有的债券按市值法估值，全国银行间债券市场、证券交易所市场交易的债券，按照第三方估值机构提供的相应品种当日的估值净价进行估值，同一债券同时在两个或两个以上市场交易的，按债券所处的市场分别估值；</w:t>
      </w:r>
    </w:p>
    <w:p>
      <w:pPr>
        <w:widowControl/>
        <w:spacing w:line="200" w:lineRule="exact"/>
        <w:jc w:val="left"/>
        <w:rPr>
          <w:rFonts w:ascii="宋体" w:hAnsi="宋体" w:cs="宋体"/>
          <w:color w:val="000000"/>
          <w:kern w:val="0"/>
          <w:sz w:val="15"/>
          <w:szCs w:val="11"/>
        </w:rPr>
      </w:pPr>
      <w:r>
        <w:rPr>
          <w:rFonts w:hint="eastAsia" w:ascii="宋体" w:hAnsi="宋体" w:cs="宋体"/>
          <w:color w:val="000000"/>
          <w:kern w:val="0"/>
          <w:sz w:val="15"/>
          <w:szCs w:val="11"/>
        </w:rPr>
        <w:t xml:space="preserve">    （3）未上市债券及按照上述方法无法取得估值的债券按照其成本估值。应收利息按债券发行利率逐日计提，计入理财产品的当日净值。</w:t>
      </w:r>
    </w:p>
    <w:p>
      <w:pPr>
        <w:widowControl/>
        <w:spacing w:line="200" w:lineRule="exact"/>
        <w:jc w:val="left"/>
        <w:rPr>
          <w:rFonts w:ascii="宋体" w:hAnsi="宋体" w:cs="宋体"/>
          <w:color w:val="000000"/>
          <w:kern w:val="0"/>
          <w:sz w:val="15"/>
          <w:szCs w:val="11"/>
        </w:rPr>
      </w:pPr>
      <w:r>
        <w:rPr>
          <w:rFonts w:hint="eastAsia" w:ascii="宋体" w:hAnsi="宋体" w:cs="宋体"/>
          <w:color w:val="000000"/>
          <w:kern w:val="0"/>
          <w:sz w:val="15"/>
          <w:szCs w:val="11"/>
        </w:rPr>
        <w:t xml:space="preserve">    4.其他资产的估值方法</w:t>
      </w:r>
    </w:p>
    <w:p>
      <w:pPr>
        <w:widowControl/>
        <w:spacing w:line="200" w:lineRule="exact"/>
        <w:jc w:val="left"/>
        <w:rPr>
          <w:rFonts w:ascii="宋体" w:hAnsi="宋体" w:cs="宋体"/>
          <w:color w:val="000000"/>
          <w:kern w:val="0"/>
          <w:sz w:val="15"/>
          <w:szCs w:val="11"/>
        </w:rPr>
      </w:pPr>
      <w:r>
        <w:rPr>
          <w:rFonts w:hint="eastAsia" w:ascii="宋体" w:hAnsi="宋体" w:cs="宋体"/>
          <w:color w:val="000000"/>
          <w:kern w:val="0"/>
          <w:sz w:val="15"/>
          <w:szCs w:val="11"/>
        </w:rPr>
        <w:t xml:space="preserve">      存在公允价值的，按照公允价值估值，公允价值不能确定的按取得时的成本按摊余成本法进行估值。</w:t>
      </w:r>
    </w:p>
    <w:p>
      <w:pPr>
        <w:widowControl/>
        <w:spacing w:line="200" w:lineRule="exact"/>
        <w:ind w:firstLine="300" w:firstLineChars="200"/>
        <w:jc w:val="left"/>
        <w:rPr>
          <w:rFonts w:ascii="宋体" w:hAnsi="宋体" w:cs="宋体"/>
          <w:color w:val="000000"/>
          <w:kern w:val="0"/>
          <w:sz w:val="15"/>
          <w:szCs w:val="11"/>
        </w:rPr>
      </w:pPr>
      <w:r>
        <w:rPr>
          <w:rFonts w:hint="eastAsia" w:ascii="宋体" w:hAnsi="宋体" w:cs="宋体"/>
          <w:color w:val="000000"/>
          <w:kern w:val="0"/>
          <w:sz w:val="15"/>
          <w:szCs w:val="11"/>
        </w:rPr>
        <w:t>5.如果管理人或托管人认为按以上规定的方法对产品资产进行估值不能客观反映其公允价值的，可提出异议，管理人和托管人协商一致后，变更公允价值的确定方式，并从经管理人与托管人协商一致日起执行。</w:t>
      </w:r>
    </w:p>
    <w:p>
      <w:pPr>
        <w:widowControl/>
        <w:spacing w:line="200" w:lineRule="exact"/>
        <w:ind w:firstLine="300" w:firstLineChars="200"/>
        <w:jc w:val="left"/>
        <w:rPr>
          <w:rFonts w:ascii="宋体" w:hAnsi="宋体" w:cs="宋体"/>
          <w:color w:val="000000"/>
          <w:kern w:val="0"/>
          <w:sz w:val="15"/>
          <w:szCs w:val="11"/>
        </w:rPr>
      </w:pPr>
      <w:r>
        <w:rPr>
          <w:rFonts w:hint="eastAsia" w:ascii="宋体" w:hAnsi="宋体" w:cs="宋体"/>
          <w:color w:val="000000"/>
          <w:kern w:val="0"/>
          <w:sz w:val="15"/>
          <w:szCs w:val="11"/>
        </w:rPr>
        <w:t>6.国家或相关监管机构有最新规定的，按其规定进行估值。</w:t>
      </w:r>
    </w:p>
    <w:p>
      <w:pPr>
        <w:widowControl/>
        <w:spacing w:line="200" w:lineRule="exact"/>
        <w:jc w:val="left"/>
        <w:rPr>
          <w:rFonts w:ascii="宋体" w:hAnsi="宋体" w:cs="宋体"/>
          <w:b/>
          <w:bCs/>
          <w:kern w:val="0"/>
          <w:sz w:val="15"/>
          <w:szCs w:val="11"/>
        </w:rPr>
      </w:pPr>
      <w:r>
        <w:rPr>
          <w:rFonts w:hint="eastAsia" w:ascii="宋体" w:hAnsi="宋体" w:cs="宋体"/>
          <w:kern w:val="0"/>
          <w:sz w:val="15"/>
          <w:szCs w:val="11"/>
        </w:rPr>
        <w:t>　　</w:t>
      </w:r>
      <w:r>
        <w:rPr>
          <w:rFonts w:hint="eastAsia" w:ascii="宋体" w:hAnsi="宋体" w:cs="宋体"/>
          <w:b/>
          <w:bCs/>
          <w:kern w:val="0"/>
          <w:sz w:val="15"/>
          <w:szCs w:val="11"/>
        </w:rPr>
        <w:t>第四条 重要提示</w:t>
      </w:r>
    </w:p>
    <w:p>
      <w:pPr>
        <w:widowControl/>
        <w:spacing w:line="200" w:lineRule="exact"/>
        <w:ind w:firstLine="301" w:firstLineChars="200"/>
        <w:jc w:val="left"/>
        <w:rPr>
          <w:rFonts w:ascii="宋体" w:hAnsi="宋体" w:cs="宋体"/>
          <w:b/>
          <w:bCs/>
          <w:kern w:val="0"/>
          <w:sz w:val="15"/>
          <w:szCs w:val="11"/>
        </w:rPr>
      </w:pPr>
      <w:r>
        <w:rPr>
          <w:rFonts w:hint="eastAsia" w:ascii="宋体" w:hAnsi="宋体" w:cs="宋体"/>
          <w:b/>
          <w:bCs/>
          <w:kern w:val="0"/>
          <w:sz w:val="15"/>
          <w:szCs w:val="11"/>
        </w:rPr>
        <w:t>请您一定仔细阅读本理财产品销售文件，包括但不限于：《理财产品销售协议书》、《理财产品说明书》、《理财产品风险揭示书》、《投资者权益须知》等，了解理财产品具体情况，关注投资风险，自主决定是否投资。</w:t>
      </w:r>
    </w:p>
    <w:p>
      <w:pPr>
        <w:widowControl/>
        <w:spacing w:line="200" w:lineRule="exact"/>
        <w:ind w:firstLine="301" w:firstLineChars="200"/>
        <w:jc w:val="left"/>
        <w:rPr>
          <w:rFonts w:ascii="宋体" w:hAnsi="宋体" w:cs="宋体"/>
          <w:b/>
          <w:bCs/>
          <w:kern w:val="0"/>
          <w:sz w:val="15"/>
          <w:szCs w:val="11"/>
        </w:rPr>
      </w:pPr>
      <w:r>
        <w:rPr>
          <w:rFonts w:hint="eastAsia" w:ascii="宋体" w:hAnsi="宋体" w:cs="宋体"/>
          <w:b/>
          <w:bCs/>
          <w:kern w:val="0"/>
          <w:sz w:val="15"/>
          <w:szCs w:val="11"/>
        </w:rPr>
        <w:t>银行将按照监管要求和说明书相关约定公布本理财产品的定期报告、到期报告等信息披露事项。投资者因自身原因或不可抗力原因未及时获知本理财产品的信息披露事项的，相应责任由投资者自行承担：</w:t>
      </w:r>
    </w:p>
    <w:p>
      <w:pPr>
        <w:widowControl/>
        <w:spacing w:line="200" w:lineRule="exact"/>
        <w:ind w:firstLine="301" w:firstLineChars="200"/>
        <w:jc w:val="left"/>
        <w:rPr>
          <w:rFonts w:ascii="宋体" w:hAnsi="宋体" w:cs="宋体"/>
          <w:b/>
          <w:bCs/>
          <w:kern w:val="0"/>
          <w:sz w:val="15"/>
          <w:szCs w:val="11"/>
        </w:rPr>
      </w:pPr>
      <w:r>
        <w:rPr>
          <w:rFonts w:hint="eastAsia" w:ascii="宋体" w:hAnsi="宋体" w:cs="宋体"/>
          <w:b/>
          <w:bCs/>
          <w:kern w:val="0"/>
          <w:sz w:val="15"/>
          <w:szCs w:val="11"/>
        </w:rPr>
        <w:t>银行可基于办理本合同项下业务、履行合同及开展风险管理的需要，有权按照法律法规和监管要求，在业务办理或履行过程中获知（包括但不限于直接获知、从代销机构获知等）、收集、传输、加工、保存、使用和报送投资者的金融信息（包括身份信息、持有理财产品信息、理财产品交易信息等信息）。投资者特此授权并同意，为业务需要，银行可与其他机构共享投资者信息，并要求其他机构履行投资者信息保密义务，或依据法律法规规定和有权机关要求进行提供 。</w:t>
      </w:r>
    </w:p>
    <w:p>
      <w:pPr>
        <w:widowControl/>
        <w:spacing w:line="200" w:lineRule="exact"/>
        <w:ind w:firstLine="301" w:firstLineChars="200"/>
        <w:jc w:val="left"/>
        <w:rPr>
          <w:rFonts w:ascii="宋体" w:hAnsi="宋体" w:cs="宋体"/>
          <w:b/>
          <w:bCs/>
          <w:kern w:val="0"/>
          <w:sz w:val="15"/>
          <w:szCs w:val="11"/>
        </w:rPr>
      </w:pPr>
      <w:r>
        <w:rPr>
          <w:rFonts w:hint="eastAsia" w:ascii="宋体" w:hAnsi="宋体" w:cs="宋体"/>
          <w:b/>
          <w:bCs/>
          <w:kern w:val="0"/>
          <w:sz w:val="15"/>
          <w:szCs w:val="11"/>
        </w:rPr>
        <w:t>本理财产品不纳入银行开具存款证明受理范围。本理财产品说明书在法律许可的范围内由银行负责解释。若投资者对本理财说明书的内容有任何疑问或异议，请致电全国客服统一热线95302咨询、投诉。</w:t>
      </w:r>
    </w:p>
    <w:p>
      <w:pPr>
        <w:widowControl/>
        <w:jc w:val="left"/>
        <w:rPr>
          <w:rFonts w:ascii="宋体" w:hAnsi="宋体" w:cs="宋体"/>
          <w:b/>
          <w:kern w:val="0"/>
          <w:sz w:val="15"/>
          <w:szCs w:val="11"/>
        </w:rPr>
      </w:pPr>
      <w:r>
        <w:rPr>
          <w:rFonts w:hint="eastAsia" w:ascii="宋体" w:hAnsi="宋体" w:cs="宋体"/>
          <w:b/>
          <w:kern w:val="0"/>
          <w:sz w:val="15"/>
          <w:szCs w:val="11"/>
        </w:rPr>
        <w:t>风险提示：</w:t>
      </w:r>
    </w:p>
    <w:p>
      <w:pPr>
        <w:widowControl/>
        <w:jc w:val="left"/>
        <w:rPr>
          <w:rFonts w:ascii="宋体" w:hAnsi="宋体" w:cs="宋体"/>
          <w:b/>
          <w:kern w:val="0"/>
          <w:sz w:val="15"/>
          <w:szCs w:val="11"/>
        </w:rPr>
      </w:pPr>
      <w:r>
        <w:rPr>
          <w:rFonts w:hint="eastAsia" w:ascii="宋体" w:hAnsi="宋体" w:cs="宋体"/>
          <w:b/>
          <w:kern w:val="0"/>
          <w:sz w:val="15"/>
          <w:szCs w:val="11"/>
        </w:rPr>
        <w:t>本理财产品是</w:t>
      </w:r>
      <w:r>
        <w:rPr>
          <w:rFonts w:hint="eastAsia" w:ascii="宋体" w:hAnsi="宋体" w:cs="宋体"/>
          <w:b/>
          <w:i/>
          <w:kern w:val="0"/>
          <w:szCs w:val="11"/>
          <w:u w:val="single"/>
        </w:rPr>
        <w:t>非保本浮动收益型、净值型</w:t>
      </w:r>
      <w:r>
        <w:rPr>
          <w:rFonts w:hint="eastAsia" w:ascii="宋体" w:hAnsi="宋体" w:cs="宋体"/>
          <w:b/>
          <w:kern w:val="0"/>
          <w:sz w:val="15"/>
          <w:szCs w:val="11"/>
        </w:rPr>
        <w:t>理</w:t>
      </w:r>
      <w:r>
        <w:rPr>
          <w:rFonts w:hint="eastAsia" w:ascii="宋体" w:hAnsi="宋体" w:cs="宋体"/>
          <w:b/>
          <w:bCs/>
          <w:kern w:val="0"/>
          <w:sz w:val="15"/>
          <w:szCs w:val="11"/>
        </w:rPr>
        <w:t>财产品，不保证本金和收益，您的本金与收益可能会蒙受重大损失，您应仔细阅读本理财协议条款和对应期次的理财产品说明书和风险提示，充分认识投资风险，谨慎投资</w:t>
      </w:r>
      <w:r>
        <w:rPr>
          <w:rFonts w:hint="eastAsia" w:ascii="宋体" w:hAnsi="宋体" w:cs="宋体"/>
          <w:b/>
          <w:kern w:val="0"/>
          <w:sz w:val="15"/>
          <w:szCs w:val="11"/>
        </w:rPr>
        <w:t>。</w:t>
      </w:r>
    </w:p>
    <w:p>
      <w:pPr>
        <w:tabs>
          <w:tab w:val="left" w:pos="8033"/>
        </w:tabs>
        <w:jc w:val="left"/>
        <w:rPr>
          <w:rFonts w:hint="eastAsia"/>
        </w:rPr>
      </w:pPr>
      <w:r>
        <w:rPr>
          <w:rFonts w:hint="eastAsia"/>
        </w:rPr>
        <w:tab/>
      </w:r>
    </w:p>
    <w:p>
      <w:pPr>
        <w:bidi w:val="0"/>
        <w:rPr>
          <w:rFonts w:hint="eastAsia" w:ascii="Times New Roman" w:hAnsi="Times New Roman" w:eastAsia="宋体" w:cs="Times New Roman"/>
          <w:kern w:val="2"/>
          <w:sz w:val="21"/>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pPr>
      <w:bookmarkStart w:id="18" w:name="_GoBack"/>
      <w:bookmarkEnd w:id="18"/>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991"/>
        <w:gridCol w:w="1529"/>
        <w:gridCol w:w="1698"/>
        <w:gridCol w:w="4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trPr>
        <w:tc>
          <w:tcPr>
            <w:tcW w:w="10314" w:type="dxa"/>
            <w:gridSpan w:val="5"/>
            <w:tcBorders>
              <w:left w:val="single" w:color="auto" w:sz="4" w:space="0"/>
            </w:tcBorders>
            <w:noWrap w:val="0"/>
            <w:vAlign w:val="top"/>
          </w:tcPr>
          <w:p>
            <w:pPr>
              <w:spacing w:line="240" w:lineRule="exact"/>
              <w:rPr>
                <w:rFonts w:ascii="楷体_GB2312" w:eastAsia="楷体_GB2312"/>
                <w:b/>
                <w:sz w:val="18"/>
                <w:szCs w:val="18"/>
              </w:rPr>
            </w:pPr>
            <w:r>
              <w:rPr>
                <w:rFonts w:hint="eastAsia" w:ascii="楷体_GB2312" w:eastAsia="楷体_GB2312"/>
                <w:b/>
                <w:sz w:val="18"/>
                <w:szCs w:val="18"/>
              </w:rPr>
              <w:t>银行打印栏（个人投资者适用）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9" w:hRule="atLeast"/>
        </w:trPr>
        <w:tc>
          <w:tcPr>
            <w:tcW w:w="10314" w:type="dxa"/>
            <w:gridSpan w:val="5"/>
            <w:tcBorders>
              <w:left w:val="single" w:color="auto" w:sz="4" w:space="0"/>
            </w:tcBorders>
            <w:noWrap w:val="0"/>
            <w:vAlign w:val="top"/>
          </w:tcPr>
          <w:p>
            <w:pPr>
              <w:spacing w:line="240" w:lineRule="exact"/>
              <w:rPr>
                <w:rFonts w:ascii="楷体_GB2312" w:eastAsia="楷体_GB2312"/>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 w:hRule="atLeast"/>
        </w:trPr>
        <w:tc>
          <w:tcPr>
            <w:tcW w:w="10314" w:type="dxa"/>
            <w:gridSpan w:val="5"/>
            <w:tcBorders>
              <w:left w:val="single" w:color="auto" w:sz="4" w:space="0"/>
            </w:tcBorders>
            <w:noWrap w:val="0"/>
            <w:vAlign w:val="top"/>
          </w:tcPr>
          <w:p>
            <w:pPr>
              <w:spacing w:line="240" w:lineRule="exact"/>
              <w:rPr>
                <w:rFonts w:ascii="楷体_GB2312" w:eastAsia="楷体_GB2312"/>
                <w:b/>
                <w:sz w:val="18"/>
                <w:szCs w:val="18"/>
              </w:rPr>
            </w:pPr>
            <w:bookmarkStart w:id="15" w:name="_Toc310770287"/>
            <w:bookmarkEnd w:id="15"/>
            <w:r>
              <w:pict>
                <v:rect id="矩形 5" o:spid="_x0000_s1026" o:spt="1" style="position:absolute;left:0pt;margin-left:524.25pt;margin-top:-0.7pt;height:249.5pt;width:22.05pt;z-index:251658240;mso-width-relative:page;mso-height-relative:page;" fillcolor="#FFFFFF" filled="t" stroked="t" coordsize="21600,21600" o:gfxdata="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FslCu9kAAAAMAQAADwAAAAAAAAABACAAAAAiAAAAZHJz&#10;L2Rvd25yZXYueG1sUEsBAhQAFAAAAAgAh07iQMTNNuI8AgAAiAQAAA4AAAAAAAAAAQAgAAAAKAEA&#10;AGRycy9lMm9Eb2MueG1sUEsFBgAAAAAGAAYAWQEAANYFAAAAAA==&#10;">
                  <v:path/>
                  <v:fill on="t" focussize="0,0"/>
                  <v:stroke color="#FFFFFF" miterlimit="8" joinstyle="miter"/>
                  <v:imagedata o:title=""/>
                  <o:lock v:ext="edit" aspectratio="f"/>
                  <v:textbox>
                    <w:txbxContent>
                      <w:p>
                        <w:pPr>
                          <w:spacing w:line="360" w:lineRule="exact"/>
                          <w:rPr>
                            <w:rFonts w:ascii="楷体_GB2312" w:eastAsia="楷体_GB2312"/>
                          </w:rPr>
                        </w:pPr>
                        <w:r>
                          <w:rPr>
                            <w:rFonts w:hint="eastAsia" w:ascii="楷体_GB2312" w:eastAsia="楷体_GB2312"/>
                          </w:rPr>
                          <w:t>第一联</w:t>
                        </w:r>
                      </w:p>
                      <w:p>
                        <w:pPr>
                          <w:spacing w:line="360" w:lineRule="exact"/>
                          <w:rPr>
                            <w:rFonts w:ascii="楷体_GB2312" w:eastAsia="楷体_GB2312"/>
                          </w:rPr>
                        </w:pPr>
                        <w:r>
                          <w:rPr>
                            <w:rFonts w:hint="eastAsia" w:ascii="楷体_GB2312" w:eastAsia="楷体_GB2312"/>
                          </w:rPr>
                          <w:t>银行留存联</w:t>
                        </w:r>
                      </w:p>
                    </w:txbxContent>
                  </v:textbox>
                </v:rect>
              </w:pict>
            </w:r>
            <w:r>
              <w:rPr>
                <w:rFonts w:hint="eastAsia" w:ascii="楷体_GB2312" w:eastAsia="楷体_GB2312"/>
                <w:b/>
                <w:sz w:val="18"/>
                <w:szCs w:val="18"/>
              </w:rPr>
              <w:t>投资者填写栏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1526" w:type="dxa"/>
            <w:tcBorders>
              <w:left w:val="single" w:color="auto" w:sz="4" w:space="0"/>
            </w:tcBorders>
            <w:noWrap w:val="0"/>
            <w:vAlign w:val="top"/>
          </w:tcPr>
          <w:p>
            <w:pPr>
              <w:spacing w:line="240" w:lineRule="exact"/>
              <w:rPr>
                <w:rFonts w:ascii="楷体_GB2312" w:eastAsia="楷体_GB2312"/>
                <w:sz w:val="18"/>
                <w:szCs w:val="18"/>
              </w:rPr>
            </w:pPr>
            <w:r>
              <w:rPr>
                <w:rFonts w:hint="eastAsia" w:ascii="楷体_GB2312" w:eastAsia="楷体_GB2312"/>
                <w:sz w:val="18"/>
                <w:szCs w:val="18"/>
              </w:rPr>
              <w:t>授权指定账户</w:t>
            </w:r>
          </w:p>
        </w:tc>
        <w:tc>
          <w:tcPr>
            <w:tcW w:w="2520" w:type="dxa"/>
            <w:gridSpan w:val="2"/>
            <w:tcBorders>
              <w:right w:val="single" w:color="auto" w:sz="4" w:space="0"/>
            </w:tcBorders>
            <w:noWrap w:val="0"/>
            <w:vAlign w:val="top"/>
          </w:tcPr>
          <w:p>
            <w:pPr>
              <w:spacing w:line="240" w:lineRule="exact"/>
              <w:rPr>
                <w:rFonts w:ascii="楷体_GB2312" w:eastAsia="楷体_GB2312"/>
                <w:sz w:val="18"/>
                <w:szCs w:val="18"/>
              </w:rPr>
            </w:pPr>
          </w:p>
        </w:tc>
        <w:tc>
          <w:tcPr>
            <w:tcW w:w="1698" w:type="dxa"/>
            <w:tcBorders>
              <w:left w:val="single" w:color="auto" w:sz="4" w:space="0"/>
              <w:right w:val="single" w:color="auto" w:sz="4" w:space="0"/>
            </w:tcBorders>
            <w:noWrap w:val="0"/>
            <w:vAlign w:val="top"/>
          </w:tcPr>
          <w:p>
            <w:pPr>
              <w:spacing w:line="240" w:lineRule="exact"/>
              <w:rPr>
                <w:rFonts w:ascii="楷体_GB2312" w:eastAsia="楷体_GB2312"/>
                <w:sz w:val="18"/>
                <w:szCs w:val="18"/>
              </w:rPr>
            </w:pPr>
            <w:r>
              <w:rPr>
                <w:rFonts w:hint="eastAsia" w:ascii="楷体_GB2312" w:eastAsia="楷体_GB2312"/>
                <w:sz w:val="18"/>
                <w:szCs w:val="18"/>
              </w:rPr>
              <w:t>账户名称</w:t>
            </w:r>
          </w:p>
        </w:tc>
        <w:tc>
          <w:tcPr>
            <w:tcW w:w="4570" w:type="dxa"/>
            <w:tcBorders>
              <w:left w:val="single" w:color="auto" w:sz="4" w:space="0"/>
            </w:tcBorders>
            <w:noWrap w:val="0"/>
            <w:vAlign w:val="top"/>
          </w:tcPr>
          <w:p>
            <w:pPr>
              <w:spacing w:line="240" w:lineRule="exact"/>
              <w:rPr>
                <w:rFonts w:ascii="楷体_GB2312" w:eastAsia="楷体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1526" w:type="dxa"/>
            <w:tcBorders>
              <w:left w:val="single" w:color="auto" w:sz="4" w:space="0"/>
            </w:tcBorders>
            <w:noWrap w:val="0"/>
            <w:vAlign w:val="top"/>
          </w:tcPr>
          <w:p>
            <w:pPr>
              <w:spacing w:line="240" w:lineRule="exact"/>
              <w:rPr>
                <w:rFonts w:ascii="楷体_GB2312" w:eastAsia="楷体_GB2312"/>
                <w:sz w:val="18"/>
                <w:szCs w:val="18"/>
              </w:rPr>
            </w:pPr>
            <w:r>
              <w:rPr>
                <w:rFonts w:hint="eastAsia" w:ascii="楷体_GB2312" w:eastAsia="楷体_GB2312"/>
                <w:sz w:val="18"/>
                <w:szCs w:val="18"/>
              </w:rPr>
              <w:t>证件名称</w:t>
            </w:r>
          </w:p>
        </w:tc>
        <w:tc>
          <w:tcPr>
            <w:tcW w:w="2520" w:type="dxa"/>
            <w:gridSpan w:val="2"/>
            <w:tcBorders>
              <w:right w:val="single" w:color="auto" w:sz="4" w:space="0"/>
            </w:tcBorders>
            <w:noWrap w:val="0"/>
            <w:vAlign w:val="top"/>
          </w:tcPr>
          <w:p>
            <w:pPr>
              <w:spacing w:line="240" w:lineRule="exact"/>
              <w:rPr>
                <w:rFonts w:ascii="楷体_GB2312" w:eastAsia="楷体_GB2312"/>
                <w:sz w:val="18"/>
                <w:szCs w:val="18"/>
              </w:rPr>
            </w:pPr>
          </w:p>
        </w:tc>
        <w:tc>
          <w:tcPr>
            <w:tcW w:w="1698" w:type="dxa"/>
            <w:tcBorders>
              <w:left w:val="single" w:color="auto" w:sz="4" w:space="0"/>
              <w:right w:val="single" w:color="auto" w:sz="4" w:space="0"/>
            </w:tcBorders>
            <w:noWrap w:val="0"/>
            <w:vAlign w:val="top"/>
          </w:tcPr>
          <w:p>
            <w:pPr>
              <w:spacing w:line="240" w:lineRule="exact"/>
              <w:rPr>
                <w:rFonts w:ascii="楷体_GB2312" w:eastAsia="楷体_GB2312"/>
                <w:sz w:val="18"/>
                <w:szCs w:val="18"/>
              </w:rPr>
            </w:pPr>
            <w:r>
              <w:rPr>
                <w:rFonts w:hint="eastAsia" w:ascii="楷体_GB2312" w:eastAsia="楷体_GB2312"/>
                <w:sz w:val="18"/>
                <w:szCs w:val="18"/>
              </w:rPr>
              <w:t>证件号码</w:t>
            </w:r>
          </w:p>
        </w:tc>
        <w:tc>
          <w:tcPr>
            <w:tcW w:w="4570" w:type="dxa"/>
            <w:tcBorders>
              <w:left w:val="single" w:color="auto" w:sz="4" w:space="0"/>
            </w:tcBorders>
            <w:noWrap w:val="0"/>
            <w:vAlign w:val="top"/>
          </w:tcPr>
          <w:p>
            <w:pPr>
              <w:spacing w:line="240" w:lineRule="exact"/>
              <w:rPr>
                <w:rFonts w:ascii="楷体_GB2312" w:eastAsia="楷体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tcBorders>
              <w:left w:val="single" w:color="auto" w:sz="4" w:space="0"/>
            </w:tcBorders>
            <w:noWrap w:val="0"/>
            <w:vAlign w:val="top"/>
          </w:tcPr>
          <w:p>
            <w:pPr>
              <w:spacing w:line="240" w:lineRule="exact"/>
              <w:rPr>
                <w:rFonts w:ascii="楷体_GB2312" w:eastAsia="楷体_GB2312"/>
                <w:sz w:val="18"/>
                <w:szCs w:val="18"/>
              </w:rPr>
            </w:pPr>
            <w:r>
              <w:rPr>
                <w:rFonts w:hint="eastAsia" w:ascii="楷体_GB2312" w:eastAsia="楷体_GB2312"/>
                <w:sz w:val="18"/>
                <w:szCs w:val="18"/>
              </w:rPr>
              <w:t>交易币种</w:t>
            </w:r>
          </w:p>
        </w:tc>
        <w:tc>
          <w:tcPr>
            <w:tcW w:w="2520" w:type="dxa"/>
            <w:gridSpan w:val="2"/>
            <w:tcBorders>
              <w:right w:val="single" w:color="auto" w:sz="4" w:space="0"/>
            </w:tcBorders>
            <w:noWrap w:val="0"/>
            <w:vAlign w:val="top"/>
          </w:tcPr>
          <w:p>
            <w:pPr>
              <w:spacing w:line="240" w:lineRule="exact"/>
              <w:rPr>
                <w:rFonts w:ascii="楷体_GB2312" w:eastAsia="楷体_GB2312"/>
                <w:sz w:val="18"/>
                <w:szCs w:val="18"/>
              </w:rPr>
            </w:pPr>
          </w:p>
        </w:tc>
        <w:tc>
          <w:tcPr>
            <w:tcW w:w="1698" w:type="dxa"/>
            <w:tcBorders>
              <w:left w:val="single" w:color="auto" w:sz="4" w:space="0"/>
              <w:right w:val="single" w:color="auto" w:sz="4" w:space="0"/>
            </w:tcBorders>
            <w:noWrap w:val="0"/>
            <w:vAlign w:val="top"/>
          </w:tcPr>
          <w:p>
            <w:pPr>
              <w:spacing w:line="240" w:lineRule="exact"/>
              <w:rPr>
                <w:rFonts w:ascii="楷体_GB2312" w:eastAsia="楷体_GB2312"/>
                <w:sz w:val="18"/>
                <w:szCs w:val="18"/>
              </w:rPr>
            </w:pPr>
            <w:r>
              <w:rPr>
                <w:rFonts w:hint="eastAsia" w:ascii="楷体_GB2312" w:eastAsia="楷体_GB2312"/>
                <w:sz w:val="18"/>
                <w:szCs w:val="18"/>
              </w:rPr>
              <w:t>钞汇标志</w:t>
            </w:r>
          </w:p>
        </w:tc>
        <w:tc>
          <w:tcPr>
            <w:tcW w:w="4570" w:type="dxa"/>
            <w:tcBorders>
              <w:left w:val="single" w:color="auto" w:sz="4" w:space="0"/>
            </w:tcBorders>
            <w:noWrap w:val="0"/>
            <w:vAlign w:val="top"/>
          </w:tcPr>
          <w:p>
            <w:pPr>
              <w:spacing w:line="240" w:lineRule="exact"/>
              <w:rPr>
                <w:rFonts w:ascii="楷体_GB2312" w:eastAsia="楷体_GB2312"/>
                <w:sz w:val="18"/>
                <w:szCs w:val="18"/>
              </w:rPr>
            </w:pPr>
            <w:r>
              <w:rPr>
                <w:rFonts w:hint="eastAsia" w:ascii="楷体_GB2312" w:eastAsia="楷体_GB2312"/>
                <w:sz w:val="18"/>
                <w:szCs w:val="18"/>
              </w:rPr>
              <w:t>□现钞   □现汇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 w:hRule="atLeast"/>
        </w:trPr>
        <w:tc>
          <w:tcPr>
            <w:tcW w:w="1526" w:type="dxa"/>
            <w:tcBorders>
              <w:left w:val="single" w:color="auto" w:sz="4" w:space="0"/>
              <w:bottom w:val="single" w:color="auto" w:sz="4" w:space="0"/>
            </w:tcBorders>
            <w:noWrap w:val="0"/>
            <w:vAlign w:val="top"/>
          </w:tcPr>
          <w:p>
            <w:pPr>
              <w:spacing w:line="240" w:lineRule="exact"/>
              <w:rPr>
                <w:rFonts w:ascii="楷体_GB2312" w:eastAsia="楷体_GB2312"/>
                <w:sz w:val="18"/>
                <w:szCs w:val="18"/>
              </w:rPr>
            </w:pPr>
            <w:r>
              <w:rPr>
                <w:rFonts w:hint="eastAsia" w:ascii="楷体_GB2312" w:eastAsia="楷体_GB2312"/>
                <w:sz w:val="18"/>
                <w:szCs w:val="18"/>
              </w:rPr>
              <w:t>产品代码</w:t>
            </w:r>
          </w:p>
        </w:tc>
        <w:tc>
          <w:tcPr>
            <w:tcW w:w="2520" w:type="dxa"/>
            <w:gridSpan w:val="2"/>
            <w:tcBorders>
              <w:bottom w:val="single" w:color="auto" w:sz="4" w:space="0"/>
            </w:tcBorders>
            <w:noWrap w:val="0"/>
            <w:vAlign w:val="top"/>
          </w:tcPr>
          <w:p>
            <w:pPr>
              <w:spacing w:line="240" w:lineRule="exact"/>
              <w:rPr>
                <w:rFonts w:ascii="楷体_GB2312" w:eastAsia="楷体_GB2312"/>
                <w:sz w:val="18"/>
                <w:szCs w:val="18"/>
              </w:rPr>
            </w:pPr>
          </w:p>
        </w:tc>
        <w:tc>
          <w:tcPr>
            <w:tcW w:w="1698" w:type="dxa"/>
            <w:tcBorders>
              <w:bottom w:val="single" w:color="auto" w:sz="4" w:space="0"/>
            </w:tcBorders>
            <w:noWrap w:val="0"/>
            <w:vAlign w:val="top"/>
          </w:tcPr>
          <w:p>
            <w:pPr>
              <w:spacing w:line="240" w:lineRule="exact"/>
              <w:rPr>
                <w:rFonts w:ascii="楷体_GB2312" w:eastAsia="楷体_GB2312"/>
                <w:sz w:val="18"/>
                <w:szCs w:val="18"/>
              </w:rPr>
            </w:pPr>
            <w:r>
              <w:rPr>
                <w:rFonts w:hint="eastAsia" w:ascii="楷体_GB2312" w:eastAsia="楷体_GB2312"/>
                <w:sz w:val="18"/>
                <w:szCs w:val="18"/>
              </w:rPr>
              <w:t>产品名称</w:t>
            </w:r>
          </w:p>
        </w:tc>
        <w:tc>
          <w:tcPr>
            <w:tcW w:w="4570" w:type="dxa"/>
            <w:tcBorders>
              <w:bottom w:val="single" w:color="auto" w:sz="4" w:space="0"/>
            </w:tcBorders>
            <w:noWrap w:val="0"/>
            <w:vAlign w:val="top"/>
          </w:tcPr>
          <w:p>
            <w:pPr>
              <w:spacing w:line="240" w:lineRule="exact"/>
              <w:rPr>
                <w:rFonts w:ascii="楷体_GB2312" w:eastAsia="楷体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 w:hRule="atLeast"/>
        </w:trPr>
        <w:tc>
          <w:tcPr>
            <w:tcW w:w="1526" w:type="dxa"/>
            <w:tcBorders>
              <w:top w:val="single" w:color="auto" w:sz="4" w:space="0"/>
              <w:left w:val="single" w:color="auto" w:sz="4" w:space="0"/>
            </w:tcBorders>
            <w:noWrap w:val="0"/>
            <w:vAlign w:val="top"/>
          </w:tcPr>
          <w:p>
            <w:pPr>
              <w:spacing w:line="240" w:lineRule="exact"/>
              <w:rPr>
                <w:rFonts w:ascii="楷体_GB2312" w:eastAsia="楷体_GB2312"/>
                <w:sz w:val="18"/>
                <w:szCs w:val="18"/>
              </w:rPr>
            </w:pPr>
            <w:r>
              <w:rPr>
                <w:rFonts w:hint="eastAsia" w:ascii="楷体_GB2312" w:eastAsia="楷体_GB2312"/>
                <w:sz w:val="18"/>
                <w:szCs w:val="18"/>
              </w:rPr>
              <w:t>投资金额/份额</w:t>
            </w:r>
          </w:p>
        </w:tc>
        <w:tc>
          <w:tcPr>
            <w:tcW w:w="2520" w:type="dxa"/>
            <w:gridSpan w:val="2"/>
            <w:tcBorders>
              <w:top w:val="single" w:color="auto" w:sz="4" w:space="0"/>
            </w:tcBorders>
            <w:noWrap w:val="0"/>
            <w:vAlign w:val="top"/>
          </w:tcPr>
          <w:p>
            <w:pPr>
              <w:spacing w:line="240" w:lineRule="exact"/>
              <w:rPr>
                <w:rFonts w:ascii="楷体_GB2312" w:eastAsia="楷体_GB2312"/>
                <w:sz w:val="18"/>
                <w:szCs w:val="18"/>
              </w:rPr>
            </w:pPr>
          </w:p>
        </w:tc>
        <w:tc>
          <w:tcPr>
            <w:tcW w:w="1698" w:type="dxa"/>
            <w:tcBorders>
              <w:top w:val="single" w:color="auto" w:sz="4" w:space="0"/>
            </w:tcBorders>
            <w:noWrap w:val="0"/>
            <w:vAlign w:val="top"/>
          </w:tcPr>
          <w:p>
            <w:pPr>
              <w:spacing w:line="240" w:lineRule="exact"/>
              <w:rPr>
                <w:rFonts w:ascii="楷体_GB2312" w:eastAsia="楷体_GB2312"/>
                <w:sz w:val="18"/>
                <w:szCs w:val="18"/>
              </w:rPr>
            </w:pPr>
            <w:r>
              <w:rPr>
                <w:rFonts w:hint="eastAsia" w:ascii="楷体_GB2312" w:eastAsia="楷体_GB2312"/>
                <w:sz w:val="18"/>
                <w:szCs w:val="18"/>
                <w:lang w:eastAsia="zh-CN"/>
              </w:rPr>
              <w:t>☑</w:t>
            </w:r>
            <w:r>
              <w:rPr>
                <w:rFonts w:hint="eastAsia" w:ascii="楷体_GB2312" w:eastAsia="楷体_GB2312"/>
                <w:sz w:val="18"/>
                <w:szCs w:val="18"/>
              </w:rPr>
              <w:t>业绩比较基准</w:t>
            </w:r>
          </w:p>
          <w:p>
            <w:pPr>
              <w:spacing w:line="240" w:lineRule="exact"/>
              <w:rPr>
                <w:rFonts w:ascii="楷体_GB2312" w:eastAsia="楷体_GB2312"/>
                <w:sz w:val="18"/>
                <w:szCs w:val="18"/>
                <w:u w:val="single"/>
              </w:rPr>
            </w:pPr>
            <w:r>
              <w:rPr>
                <w:rFonts w:hint="eastAsia" w:ascii="楷体_GB2312" w:eastAsia="楷体_GB2312"/>
                <w:sz w:val="18"/>
                <w:szCs w:val="18"/>
              </w:rPr>
              <w:t>□预期年化收益率</w:t>
            </w:r>
          </w:p>
          <w:p>
            <w:pPr>
              <w:spacing w:line="240" w:lineRule="exact"/>
              <w:rPr>
                <w:rFonts w:ascii="楷体_GB2312" w:eastAsia="楷体_GB2312"/>
                <w:sz w:val="18"/>
                <w:szCs w:val="18"/>
              </w:rPr>
            </w:pPr>
          </w:p>
        </w:tc>
        <w:tc>
          <w:tcPr>
            <w:tcW w:w="4570" w:type="dxa"/>
            <w:tcBorders>
              <w:top w:val="single" w:color="auto" w:sz="4" w:space="0"/>
            </w:tcBorders>
            <w:noWrap w:val="0"/>
            <w:vAlign w:val="top"/>
          </w:tcPr>
          <w:p>
            <w:pPr>
              <w:spacing w:line="240" w:lineRule="exact"/>
              <w:rPr>
                <w:rFonts w:ascii="楷体_GB2312" w:eastAsia="楷体_GB2312"/>
                <w:sz w:val="18"/>
                <w:szCs w:val="18"/>
              </w:rPr>
            </w:pPr>
            <w:r>
              <w:rPr>
                <w:rFonts w:hint="eastAsia" w:ascii="楷体_GB2312" w:eastAsia="楷体_GB2312"/>
                <w:sz w:val="18"/>
                <w:szCs w:val="18"/>
              </w:rPr>
              <w:t>以对应期次的理财产品说明书为准</w:t>
            </w:r>
          </w:p>
          <w:p>
            <w:pPr>
              <w:spacing w:line="240" w:lineRule="exact"/>
              <w:rPr>
                <w:rFonts w:ascii="楷体_GB2312"/>
                <w:b/>
                <w:sz w:val="18"/>
              </w:rPr>
            </w:pPr>
            <w:r>
              <w:rPr>
                <w:rFonts w:hint="eastAsia" w:ascii="楷体_GB2312" w:eastAsia="楷体_GB2312"/>
                <w:b/>
                <w:sz w:val="18"/>
                <w:szCs w:val="18"/>
              </w:rPr>
              <w:t>(特别提示：理财产品业绩比较基准、预期年化收益率不代表其未来表现，不等于理财产品实际收益，投资须谨慎</w:t>
            </w:r>
            <w:r>
              <w:rPr>
                <w:rFonts w:ascii="楷体_GB2312" w:eastAsia="楷体_GB2312"/>
                <w:b/>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14" w:type="dxa"/>
            <w:gridSpan w:val="5"/>
            <w:tcBorders>
              <w:left w:val="single" w:color="auto" w:sz="4" w:space="0"/>
            </w:tcBorders>
            <w:noWrap w:val="0"/>
            <w:vAlign w:val="top"/>
          </w:tcPr>
          <w:p>
            <w:pPr>
              <w:spacing w:line="240" w:lineRule="exact"/>
              <w:rPr>
                <w:rFonts w:ascii="楷体_GB2312" w:eastAsia="楷体_GB2312"/>
                <w:b/>
                <w:sz w:val="18"/>
                <w:szCs w:val="18"/>
              </w:rPr>
            </w:pPr>
            <w:r>
              <w:rPr>
                <w:rFonts w:hint="eastAsia" w:ascii="楷体_GB2312" w:eastAsia="楷体_GB2312"/>
                <w:b/>
                <w:sz w:val="18"/>
                <w:szCs w:val="18"/>
              </w:rPr>
              <w:t>理财产品适合度评估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7" w:type="dxa"/>
            <w:gridSpan w:val="2"/>
            <w:tcBorders>
              <w:left w:val="single" w:color="auto" w:sz="4" w:space="0"/>
              <w:right w:val="single" w:color="auto" w:sz="4" w:space="0"/>
            </w:tcBorders>
            <w:noWrap w:val="0"/>
            <w:vAlign w:val="top"/>
          </w:tcPr>
          <w:p>
            <w:pPr>
              <w:spacing w:line="240" w:lineRule="exact"/>
              <w:rPr>
                <w:rFonts w:ascii="楷体_GB2312" w:eastAsia="楷体_GB2312"/>
                <w:sz w:val="18"/>
                <w:szCs w:val="18"/>
              </w:rPr>
            </w:pPr>
            <w:r>
              <w:rPr>
                <w:rFonts w:hint="eastAsia" w:ascii="楷体_GB2312" w:eastAsia="楷体_GB2312"/>
                <w:sz w:val="18"/>
                <w:szCs w:val="18"/>
              </w:rPr>
              <w:t>投资者风险承受能力评级</w:t>
            </w:r>
          </w:p>
        </w:tc>
        <w:tc>
          <w:tcPr>
            <w:tcW w:w="7797" w:type="dxa"/>
            <w:gridSpan w:val="3"/>
            <w:tcBorders>
              <w:left w:val="single" w:color="auto" w:sz="4" w:space="0"/>
            </w:tcBorders>
            <w:noWrap w:val="0"/>
            <w:vAlign w:val="top"/>
          </w:tcPr>
          <w:p>
            <w:pPr>
              <w:spacing w:line="240" w:lineRule="exact"/>
              <w:rPr>
                <w:rFonts w:ascii="楷体_GB2312" w:eastAsia="楷体_GB2312"/>
                <w:b/>
                <w:sz w:val="18"/>
                <w:szCs w:val="18"/>
              </w:rPr>
            </w:pPr>
            <w:r>
              <w:rPr>
                <w:rFonts w:hint="eastAsia" w:ascii="楷体_GB2312" w:eastAsia="楷体_GB2312"/>
                <w:sz w:val="18"/>
                <w:szCs w:val="18"/>
              </w:rPr>
              <w:t>□低       □  中低        □ 中等        □ 中高     □高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7" w:type="dxa"/>
            <w:gridSpan w:val="2"/>
            <w:tcBorders>
              <w:left w:val="single" w:color="auto" w:sz="4" w:space="0"/>
              <w:right w:val="single" w:color="auto" w:sz="4" w:space="0"/>
            </w:tcBorders>
            <w:noWrap w:val="0"/>
            <w:vAlign w:val="top"/>
          </w:tcPr>
          <w:p>
            <w:pPr>
              <w:spacing w:line="240" w:lineRule="exact"/>
              <w:rPr>
                <w:rFonts w:ascii="楷体_GB2312" w:eastAsia="楷体_GB2312"/>
                <w:b/>
                <w:sz w:val="18"/>
                <w:szCs w:val="18"/>
              </w:rPr>
            </w:pPr>
            <w:r>
              <w:rPr>
                <w:rFonts w:hint="eastAsia" w:ascii="楷体_GB2312" w:eastAsia="楷体_GB2312"/>
                <w:sz w:val="18"/>
                <w:szCs w:val="18"/>
              </w:rPr>
              <w:t>产品风险等级（银行填写）</w:t>
            </w:r>
          </w:p>
        </w:tc>
        <w:tc>
          <w:tcPr>
            <w:tcW w:w="7797" w:type="dxa"/>
            <w:gridSpan w:val="3"/>
            <w:tcBorders>
              <w:left w:val="single" w:color="auto" w:sz="4" w:space="0"/>
            </w:tcBorders>
            <w:noWrap w:val="0"/>
            <w:vAlign w:val="top"/>
          </w:tcPr>
          <w:p>
            <w:pPr>
              <w:spacing w:line="240" w:lineRule="exact"/>
              <w:rPr>
                <w:rFonts w:ascii="楷体_GB2312" w:eastAsia="楷体_GB2312"/>
                <w:b/>
                <w:sz w:val="18"/>
                <w:szCs w:val="18"/>
              </w:rPr>
            </w:pPr>
            <w:r>
              <w:rPr>
                <w:rFonts w:hint="eastAsia" w:ascii="楷体_GB2312" w:eastAsia="楷体_GB2312"/>
                <w:sz w:val="18"/>
                <w:szCs w:val="18"/>
              </w:rPr>
              <w:t>□低       □  中低        □ 中等        □ 中高     □高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14" w:type="dxa"/>
            <w:gridSpan w:val="5"/>
            <w:tcBorders>
              <w:left w:val="single" w:color="auto" w:sz="4" w:space="0"/>
            </w:tcBorders>
            <w:noWrap w:val="0"/>
            <w:vAlign w:val="top"/>
          </w:tcPr>
          <w:p>
            <w:pPr>
              <w:spacing w:line="240" w:lineRule="exact"/>
              <w:rPr>
                <w:rFonts w:ascii="楷体_GB2312" w:eastAsia="楷体_GB2312"/>
                <w:b/>
                <w:sz w:val="18"/>
                <w:szCs w:val="18"/>
              </w:rPr>
            </w:pPr>
            <w:r>
              <w:rPr>
                <w:rFonts w:hint="eastAsia" w:ascii="楷体_GB2312" w:eastAsia="楷体_GB2312"/>
                <w:sz w:val="18"/>
                <w:szCs w:val="18"/>
              </w:rPr>
              <w:t>投资者勾选：□已经过“投资者风险承受能力”评估，评估结果表明适合购买本理财产品。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7" w:hRule="atLeast"/>
        </w:trPr>
        <w:tc>
          <w:tcPr>
            <w:tcW w:w="10314" w:type="dxa"/>
            <w:gridSpan w:val="5"/>
            <w:tcBorders>
              <w:left w:val="single" w:color="auto" w:sz="4" w:space="0"/>
            </w:tcBorders>
            <w:noWrap w:val="0"/>
            <w:vAlign w:val="top"/>
          </w:tcPr>
          <w:p>
            <w:pPr>
              <w:spacing w:line="240" w:lineRule="exact"/>
              <w:rPr>
                <w:rFonts w:hint="eastAsia" w:ascii="楷体_GB2312" w:eastAsia="楷体_GB2312"/>
                <w:sz w:val="18"/>
                <w:szCs w:val="18"/>
              </w:rPr>
            </w:pPr>
            <w:r>
              <w:rPr>
                <w:rFonts w:hint="eastAsia" w:ascii="楷体_GB2312" w:eastAsia="楷体_GB2312"/>
                <w:sz w:val="18"/>
                <w:szCs w:val="18"/>
                <w:lang w:val="en-US" w:eastAsia="zh-CN"/>
              </w:rPr>
              <w:t>(本栏</w:t>
            </w:r>
            <w:r>
              <w:rPr>
                <w:rFonts w:hint="eastAsia" w:ascii="楷体_GB2312" w:eastAsia="楷体_GB2312"/>
                <w:sz w:val="18"/>
                <w:szCs w:val="18"/>
              </w:rPr>
              <w:t>为签章页，适用于纸质书面形式订立协议的情形</w:t>
            </w:r>
            <w:r>
              <w:rPr>
                <w:rFonts w:hint="eastAsia" w:ascii="楷体_GB2312" w:eastAsia="楷体_GB2312"/>
                <w:sz w:val="18"/>
                <w:szCs w:val="18"/>
                <w:lang w:val="en-US" w:eastAsia="zh-CN"/>
              </w:rPr>
              <w:t>)</w:t>
            </w:r>
          </w:p>
          <w:p>
            <w:pPr>
              <w:spacing w:line="240" w:lineRule="exact"/>
              <w:rPr>
                <w:rFonts w:ascii="楷体_GB2312" w:eastAsia="楷体_GB2312"/>
                <w:sz w:val="18"/>
                <w:szCs w:val="18"/>
              </w:rPr>
            </w:pPr>
            <w:r>
              <w:rPr>
                <w:rFonts w:hint="eastAsia" w:ascii="楷体_GB2312" w:eastAsia="楷体_GB2312"/>
                <w:sz w:val="18"/>
                <w:szCs w:val="18"/>
              </w:rPr>
              <w:t>本人已经阅读理财产品销售文件内容，并认可                       银行</w:t>
            </w:r>
            <w:r>
              <w:rPr>
                <w:rFonts w:hint="eastAsia" w:ascii="楷体_GB2312" w:eastAsia="楷体_GB2312"/>
                <w:sz w:val="18"/>
                <w:szCs w:val="18"/>
                <w:lang w:eastAsia="zh-CN"/>
              </w:rPr>
              <w:t>盖章</w:t>
            </w:r>
            <w:r>
              <w:rPr>
                <w:rFonts w:hint="eastAsia" w:ascii="楷体_GB2312" w:eastAsia="楷体_GB2312"/>
                <w:sz w:val="18"/>
                <w:szCs w:val="18"/>
              </w:rPr>
              <w:t>：</w:t>
            </w:r>
          </w:p>
          <w:p>
            <w:pPr>
              <w:spacing w:line="240" w:lineRule="exact"/>
              <w:rPr>
                <w:rFonts w:ascii="楷体_GB2312" w:eastAsia="楷体_GB2312"/>
                <w:sz w:val="18"/>
                <w:szCs w:val="18"/>
              </w:rPr>
            </w:pPr>
            <w:r>
              <w:rPr>
                <w:rFonts w:hint="eastAsia" w:ascii="楷体_GB2312" w:eastAsia="楷体_GB2312"/>
                <w:sz w:val="18"/>
                <w:szCs w:val="18"/>
              </w:rPr>
              <w:t>理财产品销售文件的约定，确认银行</w:t>
            </w:r>
          </w:p>
          <w:p>
            <w:pPr>
              <w:spacing w:line="240" w:lineRule="exact"/>
              <w:rPr>
                <w:rFonts w:ascii="楷体_GB2312" w:hAnsi="宋体" w:eastAsia="楷体_GB2312"/>
                <w:sz w:val="18"/>
                <w:szCs w:val="18"/>
              </w:rPr>
            </w:pPr>
            <w:r>
              <w:rPr>
                <w:rFonts w:hint="eastAsia" w:ascii="楷体_GB2312" w:eastAsia="楷体_GB2312"/>
                <w:sz w:val="18"/>
                <w:szCs w:val="18"/>
              </w:rPr>
              <w:t>打印记录正确无误。</w:t>
            </w:r>
          </w:p>
          <w:p>
            <w:pPr>
              <w:spacing w:line="240" w:lineRule="exact"/>
              <w:ind w:firstLine="1170" w:firstLineChars="650"/>
              <w:rPr>
                <w:rFonts w:ascii="楷体_GB2312" w:hAnsi="宋体" w:eastAsia="楷体_GB2312"/>
                <w:sz w:val="18"/>
                <w:szCs w:val="18"/>
              </w:rPr>
            </w:pPr>
            <w:r>
              <w:rPr>
                <w:rFonts w:hint="eastAsia" w:ascii="楷体_GB2312" w:hAnsi="宋体" w:eastAsia="楷体_GB2312"/>
                <w:sz w:val="18"/>
                <w:szCs w:val="18"/>
              </w:rPr>
              <w:t>投资者</w:t>
            </w:r>
            <w:r>
              <w:rPr>
                <w:rFonts w:hint="eastAsia" w:ascii="楷体_GB2312" w:hAnsi="宋体" w:eastAsia="楷体_GB2312"/>
                <w:sz w:val="18"/>
                <w:szCs w:val="18"/>
                <w:lang w:eastAsia="zh-CN"/>
              </w:rPr>
              <w:t>签名</w:t>
            </w:r>
            <w:r>
              <w:rPr>
                <w:rFonts w:hint="eastAsia" w:ascii="楷体_GB2312" w:hAnsi="宋体" w:eastAsia="楷体_GB2312"/>
                <w:sz w:val="18"/>
                <w:szCs w:val="18"/>
              </w:rPr>
              <w:t>：                                       理财服务人员：</w:t>
            </w:r>
          </w:p>
          <w:p>
            <w:pPr>
              <w:spacing w:line="240" w:lineRule="exact"/>
              <w:ind w:firstLine="1170" w:firstLineChars="650"/>
              <w:rPr>
                <w:rFonts w:ascii="楷体_GB2312" w:hAnsi="宋体" w:eastAsia="楷体_GB2312"/>
                <w:sz w:val="18"/>
                <w:szCs w:val="18"/>
              </w:rPr>
            </w:pPr>
            <w:r>
              <w:rPr>
                <w:rFonts w:hint="eastAsia" w:ascii="楷体_GB2312" w:hAnsi="宋体" w:eastAsia="楷体_GB2312"/>
                <w:sz w:val="18"/>
                <w:szCs w:val="18"/>
              </w:rPr>
              <w:t xml:space="preserve">联系电话：                                       </w:t>
            </w:r>
            <w:r>
              <w:rPr>
                <w:rFonts w:hint="eastAsia" w:ascii="楷体_GB2312" w:hAnsi="宋体" w:eastAsia="楷体_GB2312"/>
                <w:sz w:val="18"/>
                <w:szCs w:val="18"/>
                <w:lang w:val="en-US" w:eastAsia="zh-CN"/>
              </w:rPr>
              <w:t xml:space="preserve"> </w:t>
            </w:r>
            <w:r>
              <w:rPr>
                <w:rFonts w:hint="eastAsia" w:ascii="楷体_GB2312" w:hAnsi="宋体" w:eastAsia="楷体_GB2312"/>
                <w:sz w:val="18"/>
                <w:szCs w:val="18"/>
              </w:rPr>
              <w:t xml:space="preserve"> 联系电话：</w:t>
            </w:r>
          </w:p>
          <w:p>
            <w:pPr>
              <w:spacing w:line="240" w:lineRule="exact"/>
              <w:ind w:firstLine="1170" w:firstLineChars="650"/>
              <w:rPr>
                <w:rFonts w:ascii="楷体_GB2312" w:eastAsia="楷体_GB2312"/>
                <w:sz w:val="18"/>
                <w:szCs w:val="18"/>
              </w:rPr>
            </w:pPr>
            <w:r>
              <w:rPr>
                <w:rFonts w:hint="eastAsia" w:ascii="楷体_GB2312" w:hAnsi="宋体" w:eastAsia="楷体_GB2312"/>
                <w:sz w:val="18"/>
                <w:szCs w:val="18"/>
              </w:rPr>
              <w:t>年  月  日                                         年  月  日</w:t>
            </w:r>
          </w:p>
        </w:tc>
      </w:tr>
    </w:tbl>
    <w:p>
      <w:pPr>
        <w:adjustRightInd w:val="0"/>
        <w:snapToGrid w:val="0"/>
        <w:spacing w:line="0" w:lineRule="atLeast"/>
        <w:rPr>
          <w:b/>
          <w:bCs/>
          <w:szCs w:val="21"/>
        </w:rPr>
      </w:pPr>
      <w:r>
        <w:rPr>
          <w:rFonts w:hint="eastAsia"/>
          <w:b/>
          <w:bCs/>
          <w:szCs w:val="21"/>
        </w:rPr>
        <w:t>风险提示：</w:t>
      </w:r>
    </w:p>
    <w:p>
      <w:pPr>
        <w:adjustRightInd w:val="0"/>
        <w:snapToGrid w:val="0"/>
        <w:spacing w:line="0" w:lineRule="atLeast"/>
        <w:rPr>
          <w:b/>
          <w:bCs/>
          <w:szCs w:val="21"/>
        </w:rPr>
      </w:pPr>
      <w:r>
        <w:rPr>
          <w:rFonts w:hint="eastAsia"/>
          <w:b/>
          <w:bCs/>
          <w:szCs w:val="21"/>
        </w:rPr>
        <w:t>□本理财产品是</w:t>
      </w:r>
      <w:r>
        <w:rPr>
          <w:rFonts w:hint="eastAsia"/>
          <w:b/>
          <w:bCs/>
          <w:i/>
          <w:szCs w:val="21"/>
          <w:u w:val="single"/>
        </w:rPr>
        <w:t>非保本浮动收益型</w:t>
      </w:r>
      <w:r>
        <w:rPr>
          <w:rFonts w:hint="eastAsia"/>
          <w:b/>
          <w:bCs/>
          <w:szCs w:val="21"/>
        </w:rPr>
        <w:t>理财产品，不保证本金和收益，投资者的本金与收益可能会因市场变动而蒙受重大损失，投资者应仔细阅读本理财协议条款和对应期次的《理财产品说明书》和《理财产品风险揭示书》，充分认识投资风险，谨慎投资。</w:t>
      </w:r>
    </w:p>
    <w:p>
      <w:pPr>
        <w:tabs>
          <w:tab w:val="left" w:pos="7920"/>
          <w:tab w:val="left" w:pos="8100"/>
        </w:tabs>
        <w:spacing w:line="0" w:lineRule="atLeast"/>
        <w:rPr>
          <w:b/>
          <w:bCs/>
        </w:rPr>
      </w:pPr>
      <w:r>
        <w:rPr>
          <w:rFonts w:hint="eastAsia"/>
          <w:b/>
          <w:bCs/>
          <w:szCs w:val="21"/>
        </w:rPr>
        <w:t>□</w:t>
      </w:r>
      <w:r>
        <w:rPr>
          <w:rFonts w:hint="eastAsia"/>
          <w:b/>
          <w:bCs/>
        </w:rPr>
        <w:t>本理财产品是</w:t>
      </w:r>
      <w:r>
        <w:rPr>
          <w:rFonts w:hint="eastAsia"/>
          <w:b/>
          <w:bCs/>
          <w:i/>
          <w:szCs w:val="21"/>
          <w:u w:val="single"/>
        </w:rPr>
        <w:t>保证收益型</w:t>
      </w:r>
      <w:r>
        <w:rPr>
          <w:rFonts w:hint="eastAsia"/>
          <w:b/>
          <w:bCs/>
        </w:rPr>
        <w:t>理财产品。本理财产品有投资风险，只能保证获得合同明确承诺的收益，投资者应仔细阅读本理财协议条款和对应期次的</w:t>
      </w:r>
      <w:r>
        <w:rPr>
          <w:rFonts w:hint="eastAsia"/>
          <w:b/>
          <w:bCs/>
          <w:szCs w:val="21"/>
        </w:rPr>
        <w:t>《理财</w:t>
      </w:r>
      <w:r>
        <w:rPr>
          <w:rFonts w:hint="eastAsia"/>
          <w:b/>
          <w:bCs/>
        </w:rPr>
        <w:t>产品说明书》和《理财产品风险揭示书</w:t>
      </w:r>
      <w:r>
        <w:rPr>
          <w:rFonts w:hint="eastAsia"/>
          <w:b/>
          <w:bCs/>
          <w:szCs w:val="21"/>
        </w:rPr>
        <w:t>》</w:t>
      </w:r>
      <w:r>
        <w:rPr>
          <w:rFonts w:hint="eastAsia"/>
          <w:b/>
          <w:bCs/>
        </w:rPr>
        <w:t>，充分认识投资风险，谨慎投资。</w:t>
      </w: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ind w:firstLine="482" w:firstLineChars="200"/>
        <w:jc w:val="center"/>
        <w:rPr>
          <w:rFonts w:hint="eastAsia" w:ascii="黑体" w:hAnsi="宋体" w:eastAsia="黑体"/>
          <w:b/>
          <w:bCs/>
          <w:sz w:val="24"/>
          <w:szCs w:val="15"/>
          <w:highlight w:val="yellow"/>
        </w:rPr>
      </w:pPr>
      <w:r>
        <w:rPr>
          <w:rFonts w:hint="eastAsia" w:ascii="黑体" w:hAnsi="宋体" w:eastAsia="黑体"/>
          <w:b/>
          <w:bCs/>
          <w:sz w:val="24"/>
          <w:szCs w:val="15"/>
          <w:highlight w:val="yellow"/>
        </w:rPr>
        <w:br w:type="page"/>
      </w:r>
    </w:p>
    <w:p>
      <w:pPr>
        <w:spacing w:line="0" w:lineRule="atLeast"/>
        <w:ind w:firstLine="482" w:firstLineChars="200"/>
        <w:jc w:val="center"/>
        <w:rPr>
          <w:rFonts w:ascii="黑体" w:hAnsi="宋体" w:eastAsia="黑体"/>
          <w:b/>
          <w:bCs/>
          <w:sz w:val="24"/>
          <w:szCs w:val="15"/>
        </w:rPr>
      </w:pPr>
      <w:r>
        <w:rPr>
          <w:rFonts w:hint="eastAsia" w:ascii="黑体" w:hAnsi="宋体" w:eastAsia="黑体"/>
          <w:b/>
          <w:bCs/>
          <w:sz w:val="24"/>
          <w:szCs w:val="15"/>
          <w:highlight w:val="none"/>
        </w:rPr>
        <w:t>投资者权益须知</w:t>
      </w:r>
    </w:p>
    <w:p>
      <w:pPr>
        <w:spacing w:line="0" w:lineRule="atLeast"/>
        <w:ind w:firstLine="321" w:firstLineChars="200"/>
        <w:jc w:val="center"/>
        <w:rPr>
          <w:rFonts w:ascii="宋体" w:hAnsi="宋体"/>
          <w:b/>
          <w:i/>
          <w:sz w:val="16"/>
          <w:szCs w:val="15"/>
          <w:u w:val="single"/>
        </w:rPr>
      </w:pPr>
      <w:r>
        <w:rPr>
          <w:rFonts w:hint="eastAsia" w:ascii="宋体" w:hAnsi="宋体"/>
          <w:b/>
          <w:i/>
          <w:sz w:val="16"/>
          <w:szCs w:val="15"/>
          <w:u w:val="single"/>
        </w:rPr>
        <w:t>“理财非存款、产品有风险、理财产品过往业绩不代表其未来表现，不等于理财产品实际收益，投资须谨慎”！</w:t>
      </w:r>
    </w:p>
    <w:p>
      <w:pPr>
        <w:pStyle w:val="8"/>
        <w:spacing w:before="0" w:after="0" w:line="160" w:lineRule="exact"/>
        <w:ind w:firstLine="0"/>
        <w:rPr>
          <w:color w:val="auto"/>
          <w:spacing w:val="10"/>
          <w:kern w:val="2"/>
          <w:sz w:val="15"/>
          <w:szCs w:val="15"/>
        </w:rPr>
      </w:pPr>
      <w:r>
        <w:rPr>
          <w:rFonts w:hint="eastAsia"/>
          <w:color w:val="auto"/>
          <w:spacing w:val="10"/>
          <w:kern w:val="2"/>
          <w:sz w:val="15"/>
          <w:szCs w:val="15"/>
        </w:rPr>
        <w:t>尊敬的投资者：</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理财产品在投资并获取收益的同时也存在投资风险。为了保护投资者（包含个人投资者及机构投资者，统称为“投资者”）的合法权益，请在投资理财产品前认真阅读以下内容：</w:t>
      </w:r>
    </w:p>
    <w:p>
      <w:pPr>
        <w:pStyle w:val="8"/>
        <w:numPr>
          <w:ilvl w:val="0"/>
          <w:numId w:val="2"/>
        </w:numPr>
        <w:spacing w:line="160" w:lineRule="exact"/>
        <w:rPr>
          <w:b/>
          <w:color w:val="auto"/>
          <w:spacing w:val="10"/>
          <w:kern w:val="2"/>
          <w:sz w:val="15"/>
          <w:szCs w:val="15"/>
        </w:rPr>
      </w:pPr>
      <w:r>
        <w:rPr>
          <w:rFonts w:hint="eastAsia"/>
          <w:b/>
          <w:color w:val="auto"/>
          <w:spacing w:val="10"/>
          <w:kern w:val="2"/>
          <w:sz w:val="15"/>
          <w:szCs w:val="15"/>
        </w:rPr>
        <w:t>理财产品购买和服务流程说明</w:t>
      </w:r>
    </w:p>
    <w:p>
      <w:pPr>
        <w:pStyle w:val="8"/>
        <w:spacing w:before="0" w:after="0" w:line="160" w:lineRule="exact"/>
        <w:ind w:firstLine="341" w:firstLineChars="200"/>
        <w:rPr>
          <w:b/>
          <w:spacing w:val="10"/>
          <w:kern w:val="2"/>
          <w:sz w:val="15"/>
          <w:szCs w:val="15"/>
        </w:rPr>
      </w:pPr>
      <w:r>
        <w:rPr>
          <w:rFonts w:hint="eastAsia"/>
          <w:b/>
          <w:spacing w:val="10"/>
          <w:kern w:val="2"/>
          <w:sz w:val="15"/>
          <w:szCs w:val="15"/>
        </w:rPr>
        <w:t>（一）阅读理财产品销售文件</w:t>
      </w:r>
    </w:p>
    <w:p>
      <w:pPr>
        <w:pStyle w:val="8"/>
        <w:spacing w:before="0" w:after="0" w:line="160" w:lineRule="exact"/>
        <w:ind w:firstLine="340" w:firstLineChars="200"/>
        <w:rPr>
          <w:spacing w:val="10"/>
          <w:kern w:val="2"/>
          <w:sz w:val="15"/>
          <w:szCs w:val="15"/>
        </w:rPr>
      </w:pPr>
      <w:r>
        <w:rPr>
          <w:rFonts w:hint="eastAsia"/>
          <w:spacing w:val="10"/>
          <w:kern w:val="2"/>
          <w:sz w:val="15"/>
          <w:szCs w:val="15"/>
        </w:rPr>
        <w:t>投资者应仔细阅读拟购买理财产品销售文件（以下简称“销售文件”），包括但不限于：《理财产品销售协议书》、《理财产品说明书》、《理财产品风险揭示书》、《投资者权益须知》等。投资者可以向南京银行（以下简称“银行”）理财服务人员咨询理财产品风险等级、期限、投资范围、销售文件相关细节、疑问等，银行理财服务人员给予解答。</w:t>
      </w:r>
    </w:p>
    <w:p>
      <w:pPr>
        <w:pStyle w:val="8"/>
        <w:spacing w:before="0" w:after="0" w:line="160" w:lineRule="exact"/>
        <w:ind w:firstLine="341" w:firstLineChars="200"/>
        <w:rPr>
          <w:b/>
          <w:spacing w:val="10"/>
          <w:kern w:val="2"/>
          <w:sz w:val="15"/>
          <w:szCs w:val="15"/>
        </w:rPr>
      </w:pPr>
      <w:r>
        <w:rPr>
          <w:rFonts w:hint="eastAsia"/>
          <w:b/>
          <w:spacing w:val="10"/>
          <w:kern w:val="2"/>
          <w:sz w:val="15"/>
          <w:szCs w:val="15"/>
        </w:rPr>
        <w:t>（二）风险承受能力及理财签约</w:t>
      </w:r>
    </w:p>
    <w:p>
      <w:pPr>
        <w:pStyle w:val="8"/>
        <w:spacing w:before="0" w:after="0" w:line="160" w:lineRule="exact"/>
        <w:ind w:firstLine="340" w:firstLineChars="200"/>
        <w:rPr>
          <w:spacing w:val="10"/>
          <w:kern w:val="2"/>
          <w:sz w:val="15"/>
          <w:szCs w:val="15"/>
        </w:rPr>
      </w:pPr>
      <w:r>
        <w:rPr>
          <w:rFonts w:hint="eastAsia"/>
          <w:spacing w:val="10"/>
          <w:kern w:val="2"/>
          <w:sz w:val="15"/>
          <w:szCs w:val="15"/>
        </w:rPr>
        <w:t>●机构投资者适用</w:t>
      </w:r>
    </w:p>
    <w:p>
      <w:pPr>
        <w:pStyle w:val="8"/>
        <w:spacing w:before="0" w:after="0" w:line="160" w:lineRule="exact"/>
        <w:ind w:firstLine="340" w:firstLineChars="200"/>
        <w:rPr>
          <w:spacing w:val="10"/>
          <w:kern w:val="2"/>
          <w:sz w:val="15"/>
          <w:szCs w:val="15"/>
        </w:rPr>
      </w:pPr>
      <w:r>
        <w:rPr>
          <w:rFonts w:hint="eastAsia"/>
          <w:spacing w:val="10"/>
          <w:kern w:val="2"/>
          <w:sz w:val="15"/>
          <w:szCs w:val="15"/>
        </w:rPr>
        <w:t>投资者向银行申请购买理财产品前须开立银行账户，通过理财签约交易开通理财账户。若选择线上签约，投资者在银行电子渠道理财签约界面点击确认按钮后即视为签约完毕；若选择线下签约，投资者需提供：三证合一后的营业执照、开户许可证、开户单位为分支机构的，还应提交法人授权、民政部门或其他主管部门颁发的注册登记证书，法定代表人身份证、授权经办人办理理财业务的授权委托书、被授权人的身份证、依照监管部门规定，银行要求投资者提供的其他材料，签署《理财业务开户/认购产品申请书》后视为确认签约完毕。</w:t>
      </w:r>
    </w:p>
    <w:p>
      <w:pPr>
        <w:pStyle w:val="8"/>
        <w:spacing w:before="0" w:after="0" w:line="160" w:lineRule="exact"/>
        <w:ind w:firstLine="340" w:firstLineChars="200"/>
        <w:rPr>
          <w:spacing w:val="10"/>
          <w:kern w:val="2"/>
          <w:sz w:val="15"/>
          <w:szCs w:val="15"/>
        </w:rPr>
      </w:pPr>
      <w:r>
        <w:rPr>
          <w:rFonts w:hint="eastAsia"/>
          <w:spacing w:val="10"/>
          <w:kern w:val="2"/>
          <w:sz w:val="15"/>
          <w:szCs w:val="15"/>
        </w:rPr>
        <w:t>●个人投资者适用</w:t>
      </w:r>
    </w:p>
    <w:p>
      <w:pPr>
        <w:pStyle w:val="8"/>
        <w:spacing w:before="0" w:after="0" w:line="160" w:lineRule="exact"/>
        <w:ind w:firstLine="340" w:firstLineChars="200"/>
        <w:rPr>
          <w:spacing w:val="10"/>
          <w:kern w:val="2"/>
          <w:sz w:val="15"/>
          <w:szCs w:val="15"/>
        </w:rPr>
      </w:pPr>
      <w:r>
        <w:rPr>
          <w:rFonts w:hint="eastAsia"/>
          <w:spacing w:val="10"/>
          <w:kern w:val="2"/>
          <w:sz w:val="15"/>
          <w:szCs w:val="15"/>
        </w:rPr>
        <w:t>首次购买理财的个人投资者须前往银行营业网点进行风险承受能力评估和理财签约。通过风险承受能力评估，投资者可以清楚了解自身的风险承受能力和可购买的理财产品风险等级。风险评估须填写《南京银行投资者风险测评问卷(个人版)》</w:t>
      </w:r>
    </w:p>
    <w:p>
      <w:pPr>
        <w:pStyle w:val="8"/>
        <w:spacing w:before="0" w:after="0" w:line="160" w:lineRule="exact"/>
        <w:ind w:firstLine="341" w:firstLineChars="200"/>
        <w:rPr>
          <w:b/>
          <w:spacing w:val="10"/>
          <w:kern w:val="2"/>
          <w:sz w:val="15"/>
          <w:szCs w:val="15"/>
        </w:rPr>
      </w:pPr>
      <w:r>
        <w:rPr>
          <w:rFonts w:hint="eastAsia"/>
          <w:b/>
          <w:spacing w:val="10"/>
          <w:kern w:val="2"/>
          <w:sz w:val="15"/>
          <w:szCs w:val="15"/>
        </w:rPr>
        <w:t>（三）理财产品认/申购申请</w:t>
      </w:r>
    </w:p>
    <w:p>
      <w:pPr>
        <w:pStyle w:val="8"/>
        <w:spacing w:before="0" w:after="0" w:line="160" w:lineRule="exact"/>
        <w:ind w:firstLine="340" w:firstLineChars="200"/>
        <w:rPr>
          <w:spacing w:val="10"/>
          <w:kern w:val="2"/>
          <w:sz w:val="15"/>
          <w:szCs w:val="15"/>
        </w:rPr>
      </w:pPr>
      <w:r>
        <w:rPr>
          <w:rFonts w:hint="eastAsia"/>
          <w:spacing w:val="10"/>
          <w:kern w:val="2"/>
          <w:sz w:val="15"/>
          <w:szCs w:val="15"/>
        </w:rPr>
        <w:t>投资者自主决定是否购买理财产品。在理财产品募集期/开放期销售时段内，投资者可选择在银行营业网点或电子渠道购买。</w:t>
      </w:r>
    </w:p>
    <w:p>
      <w:pPr>
        <w:pStyle w:val="8"/>
        <w:spacing w:before="0" w:after="0" w:line="160" w:lineRule="exact"/>
        <w:ind w:firstLine="340" w:firstLineChars="200"/>
        <w:rPr>
          <w:spacing w:val="10"/>
          <w:kern w:val="2"/>
          <w:sz w:val="15"/>
          <w:szCs w:val="15"/>
        </w:rPr>
      </w:pPr>
      <w:r>
        <w:rPr>
          <w:rFonts w:hint="eastAsia"/>
          <w:spacing w:val="10"/>
          <w:kern w:val="2"/>
          <w:sz w:val="15"/>
          <w:szCs w:val="15"/>
        </w:rPr>
        <w:t>●机构投资者适用</w:t>
      </w:r>
    </w:p>
    <w:p>
      <w:pPr>
        <w:pStyle w:val="8"/>
        <w:spacing w:before="0" w:after="0" w:line="160" w:lineRule="exact"/>
        <w:ind w:firstLine="340" w:firstLineChars="200"/>
        <w:rPr>
          <w:spacing w:val="10"/>
          <w:kern w:val="2"/>
          <w:sz w:val="15"/>
          <w:szCs w:val="15"/>
        </w:rPr>
      </w:pPr>
      <w:r>
        <w:rPr>
          <w:rFonts w:hint="eastAsia"/>
          <w:spacing w:val="10"/>
          <w:kern w:val="2"/>
          <w:sz w:val="15"/>
          <w:szCs w:val="15"/>
        </w:rPr>
        <w:t>机构投资者购买理财产品前应通过理财签约交易开通理财账户</w:t>
      </w:r>
      <w:r>
        <w:rPr>
          <w:rStyle w:val="13"/>
          <w:rFonts w:hint="eastAsia" w:ascii="Calibri" w:hAnsi="Calibri" w:eastAsia="宋体" w:cs="Times New Roman"/>
          <w:color w:val="auto"/>
          <w:kern w:val="2"/>
        </w:rPr>
        <w:t>，</w:t>
      </w:r>
      <w:r>
        <w:rPr>
          <w:rFonts w:hint="eastAsia"/>
          <w:spacing w:val="10"/>
          <w:kern w:val="2"/>
          <w:sz w:val="15"/>
          <w:szCs w:val="15"/>
        </w:rPr>
        <w:t>按照对应期次的《理财产品说明书》约定的币种和金额存入授权指定账户，银行柜面服务人员通过柜面相关交易录入投资者认/申购信息，完成认/申购交易；</w:t>
      </w:r>
    </w:p>
    <w:p>
      <w:pPr>
        <w:pStyle w:val="8"/>
        <w:spacing w:before="0" w:after="0" w:line="160" w:lineRule="exact"/>
        <w:ind w:firstLine="340" w:firstLineChars="200"/>
        <w:rPr>
          <w:spacing w:val="10"/>
          <w:kern w:val="2"/>
          <w:sz w:val="15"/>
          <w:szCs w:val="15"/>
        </w:rPr>
      </w:pPr>
      <w:r>
        <w:rPr>
          <w:rFonts w:hint="eastAsia"/>
          <w:spacing w:val="10"/>
          <w:kern w:val="2"/>
          <w:sz w:val="15"/>
          <w:szCs w:val="15"/>
        </w:rPr>
        <w:t>●个人投资者适用</w:t>
      </w:r>
    </w:p>
    <w:p>
      <w:pPr>
        <w:pStyle w:val="8"/>
        <w:spacing w:before="0" w:after="0" w:line="160" w:lineRule="exact"/>
        <w:ind w:firstLine="341" w:firstLineChars="200"/>
        <w:rPr>
          <w:spacing w:val="10"/>
          <w:kern w:val="2"/>
          <w:sz w:val="15"/>
          <w:szCs w:val="15"/>
        </w:rPr>
      </w:pPr>
      <w:r>
        <w:rPr>
          <w:rFonts w:hint="eastAsia"/>
          <w:b/>
          <w:bCs/>
          <w:spacing w:val="10"/>
          <w:kern w:val="2"/>
          <w:sz w:val="15"/>
          <w:szCs w:val="15"/>
        </w:rPr>
        <w:t>如投资者选择在银行营业网点购买理财产品，流程如下</w:t>
      </w:r>
      <w:r>
        <w:rPr>
          <w:rFonts w:hint="eastAsia"/>
          <w:spacing w:val="10"/>
          <w:kern w:val="2"/>
          <w:sz w:val="15"/>
          <w:szCs w:val="15"/>
        </w:rPr>
        <w:t>：</w:t>
      </w:r>
    </w:p>
    <w:p>
      <w:pPr>
        <w:pStyle w:val="8"/>
        <w:spacing w:before="0" w:after="0" w:line="160" w:lineRule="exact"/>
        <w:ind w:firstLine="340" w:firstLineChars="200"/>
        <w:rPr>
          <w:spacing w:val="10"/>
          <w:kern w:val="2"/>
          <w:sz w:val="15"/>
          <w:szCs w:val="15"/>
        </w:rPr>
      </w:pPr>
      <w:r>
        <w:rPr>
          <w:rFonts w:hint="eastAsia"/>
          <w:spacing w:val="10"/>
          <w:kern w:val="2"/>
          <w:sz w:val="15"/>
          <w:szCs w:val="15"/>
        </w:rPr>
        <w:t>理财产品推荐及录音录像（以下简称“双录”）。银行理财产品销售人员根据投资者的风险评估结果，向投资者推荐合适的理财产品，提供理财产品销售文件，介绍产品相关条款及风险揭示等内容。投资者应仔细阅读拟购买理财产品销售文件，自主决定是否购买，如确认购买，须在《理财产品销售协议书》上</w:t>
      </w:r>
      <w:r>
        <w:rPr>
          <w:rFonts w:hint="eastAsia"/>
          <w:spacing w:val="10"/>
          <w:kern w:val="2"/>
          <w:sz w:val="15"/>
          <w:szCs w:val="15"/>
          <w:lang w:eastAsia="zh-CN"/>
        </w:rPr>
        <w:t>签名</w:t>
      </w:r>
      <w:r>
        <w:rPr>
          <w:rFonts w:hint="eastAsia"/>
          <w:spacing w:val="10"/>
          <w:kern w:val="2"/>
          <w:sz w:val="15"/>
          <w:szCs w:val="15"/>
        </w:rPr>
        <w:t>确认，并在《理财产品风险揭示书》上亲自抄录风险揭示语句。银行理财产品销售人员须在销售专区对理财销售全过程进行双录。完成双录后，投资者须在《南京银行风险产品录音录像确认单》上</w:t>
      </w:r>
      <w:r>
        <w:rPr>
          <w:rFonts w:hint="eastAsia"/>
          <w:spacing w:val="10"/>
          <w:kern w:val="2"/>
          <w:sz w:val="15"/>
          <w:szCs w:val="15"/>
          <w:lang w:eastAsia="zh-CN"/>
        </w:rPr>
        <w:t>签名</w:t>
      </w:r>
      <w:r>
        <w:rPr>
          <w:rFonts w:hint="eastAsia"/>
          <w:spacing w:val="10"/>
          <w:kern w:val="2"/>
          <w:sz w:val="15"/>
          <w:szCs w:val="15"/>
        </w:rPr>
        <w:t>确认。</w:t>
      </w:r>
    </w:p>
    <w:p>
      <w:pPr>
        <w:pStyle w:val="8"/>
        <w:spacing w:before="0" w:after="0" w:line="160" w:lineRule="exact"/>
        <w:ind w:firstLine="340" w:firstLineChars="200"/>
        <w:rPr>
          <w:spacing w:val="10"/>
          <w:kern w:val="2"/>
          <w:sz w:val="15"/>
          <w:szCs w:val="15"/>
        </w:rPr>
      </w:pPr>
      <w:r>
        <w:rPr>
          <w:rFonts w:hint="eastAsia"/>
          <w:spacing w:val="10"/>
          <w:kern w:val="2"/>
          <w:sz w:val="15"/>
          <w:szCs w:val="15"/>
        </w:rPr>
        <w:t>个人投资者向银行申请购买理财产品前须开立银行借记卡、通过理财签约交易开通理财账户，在理财产品</w:t>
      </w:r>
      <w:r>
        <w:rPr>
          <w:rFonts w:hint="eastAsia"/>
          <w:color w:val="auto"/>
          <w:spacing w:val="10"/>
          <w:kern w:val="2"/>
          <w:sz w:val="15"/>
          <w:szCs w:val="15"/>
        </w:rPr>
        <w:t>认购期/</w:t>
      </w:r>
      <w:r>
        <w:rPr>
          <w:rFonts w:hint="eastAsia"/>
          <w:spacing w:val="10"/>
          <w:kern w:val="2"/>
          <w:sz w:val="15"/>
          <w:szCs w:val="15"/>
        </w:rPr>
        <w:t>募集期/开放期销售时段内,按照对应期次的《理财产品说明书》约定的币种和金额存入授权指定账户。</w:t>
      </w:r>
    </w:p>
    <w:p>
      <w:pPr>
        <w:pStyle w:val="8"/>
        <w:spacing w:before="0" w:after="0" w:line="160" w:lineRule="exact"/>
        <w:ind w:firstLine="340" w:firstLineChars="200"/>
        <w:rPr>
          <w:spacing w:val="10"/>
          <w:kern w:val="2"/>
          <w:sz w:val="15"/>
          <w:szCs w:val="15"/>
        </w:rPr>
      </w:pPr>
      <w:r>
        <w:rPr>
          <w:rFonts w:hint="eastAsia"/>
          <w:spacing w:val="10"/>
          <w:kern w:val="2"/>
          <w:sz w:val="15"/>
          <w:szCs w:val="15"/>
        </w:rPr>
        <w:t>个人投资者将本人有效身份证件、已</w:t>
      </w:r>
      <w:r>
        <w:rPr>
          <w:rFonts w:hint="eastAsia"/>
          <w:spacing w:val="10"/>
          <w:kern w:val="2"/>
          <w:sz w:val="15"/>
          <w:szCs w:val="15"/>
          <w:lang w:eastAsia="zh-CN"/>
        </w:rPr>
        <w:t>签名</w:t>
      </w:r>
      <w:r>
        <w:rPr>
          <w:rFonts w:hint="eastAsia"/>
          <w:spacing w:val="10"/>
          <w:kern w:val="2"/>
          <w:sz w:val="15"/>
          <w:szCs w:val="15"/>
        </w:rPr>
        <w:t>确认的理财认/申购申请资料和《南京银行风险产品录音录像确认单》提交银行柜面服务人员进行购买操作，银行柜面服务人员通过柜面相关交易录入投资者认/申购信息，完成认/申购交易。</w:t>
      </w:r>
    </w:p>
    <w:p>
      <w:pPr>
        <w:pStyle w:val="8"/>
        <w:spacing w:before="0" w:after="0" w:line="160" w:lineRule="exact"/>
        <w:ind w:firstLine="341" w:firstLineChars="200"/>
        <w:rPr>
          <w:color w:val="auto"/>
          <w:spacing w:val="10"/>
          <w:kern w:val="2"/>
          <w:sz w:val="15"/>
          <w:szCs w:val="15"/>
        </w:rPr>
      </w:pPr>
      <w:r>
        <w:rPr>
          <w:rFonts w:hint="eastAsia"/>
          <w:b/>
          <w:bCs/>
          <w:spacing w:val="10"/>
          <w:kern w:val="2"/>
          <w:sz w:val="15"/>
          <w:szCs w:val="15"/>
        </w:rPr>
        <w:t>如投资者选择在银行提供的电子银行（</w:t>
      </w:r>
      <w:r>
        <w:rPr>
          <w:rFonts w:hint="eastAsia" w:ascii="宋体" w:hAnsi="宋体"/>
          <w:b/>
          <w:bCs/>
          <w:spacing w:val="10"/>
          <w:sz w:val="15"/>
          <w:szCs w:val="15"/>
        </w:rPr>
        <w:t>包括但不限于网上银行、手机银行或监管机构认可的其他销售渠道</w:t>
      </w:r>
      <w:r>
        <w:rPr>
          <w:rFonts w:hint="eastAsia"/>
          <w:b/>
          <w:bCs/>
          <w:spacing w:val="10"/>
          <w:kern w:val="2"/>
          <w:sz w:val="15"/>
          <w:szCs w:val="15"/>
        </w:rPr>
        <w:t>）购买理财产品</w:t>
      </w:r>
      <w:r>
        <w:rPr>
          <w:rFonts w:hint="eastAsia"/>
          <w:spacing w:val="10"/>
          <w:kern w:val="2"/>
          <w:sz w:val="15"/>
          <w:szCs w:val="15"/>
        </w:rPr>
        <w:t>，投资者需通过相关电子银行渠道仔细阅读理财产品销售文件，根据</w:t>
      </w:r>
      <w:r>
        <w:rPr>
          <w:spacing w:val="10"/>
          <w:kern w:val="2"/>
          <w:sz w:val="15"/>
          <w:szCs w:val="15"/>
        </w:rPr>
        <w:t>认</w:t>
      </w:r>
      <w:r>
        <w:rPr>
          <w:color w:val="auto"/>
          <w:spacing w:val="10"/>
          <w:kern w:val="2"/>
          <w:sz w:val="15"/>
          <w:szCs w:val="15"/>
        </w:rPr>
        <w:t>购流程逐项点击确认</w:t>
      </w:r>
      <w:r>
        <w:rPr>
          <w:rFonts w:hint="eastAsia"/>
          <w:color w:val="auto"/>
          <w:spacing w:val="10"/>
          <w:kern w:val="2"/>
          <w:sz w:val="15"/>
          <w:szCs w:val="15"/>
        </w:rPr>
        <w:t>进行购买。</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（四）理财产品</w:t>
      </w:r>
      <w:r>
        <w:rPr>
          <w:rFonts w:hint="eastAsia"/>
          <w:b/>
          <w:bCs/>
          <w:color w:val="auto"/>
          <w:spacing w:val="10"/>
          <w:kern w:val="2"/>
          <w:sz w:val="15"/>
          <w:szCs w:val="15"/>
        </w:rPr>
        <w:t>认/申购申请撤销</w:t>
      </w:r>
      <w:r>
        <w:rPr>
          <w:rFonts w:hint="eastAsia"/>
          <w:color w:val="auto"/>
          <w:spacing w:val="10"/>
          <w:kern w:val="2"/>
          <w:sz w:val="15"/>
          <w:szCs w:val="15"/>
        </w:rPr>
        <w:t>。投资者在理财产品认购期/募集期/开放期</w:t>
      </w:r>
      <w:r>
        <w:rPr>
          <w:rFonts w:hint="eastAsia" w:ascii="宋体" w:hAnsi="宋体"/>
          <w:color w:val="auto"/>
          <w:spacing w:val="10"/>
          <w:sz w:val="15"/>
          <w:szCs w:val="15"/>
        </w:rPr>
        <w:t>/投资冷静期（私募产品适用）</w:t>
      </w:r>
      <w:r>
        <w:rPr>
          <w:rFonts w:hint="eastAsia"/>
          <w:color w:val="auto"/>
          <w:spacing w:val="10"/>
          <w:kern w:val="2"/>
          <w:sz w:val="15"/>
          <w:szCs w:val="15"/>
        </w:rPr>
        <w:t>内，可以撤销理财产品相应的认/申购申请。</w:t>
      </w:r>
    </w:p>
    <w:p>
      <w:pPr>
        <w:pStyle w:val="8"/>
        <w:spacing w:before="0" w:after="0" w:line="160" w:lineRule="exact"/>
        <w:ind w:firstLine="340" w:firstLineChars="200"/>
        <w:rPr>
          <w:color w:val="auto"/>
          <w:spacing w:val="10"/>
          <w:kern w:val="2"/>
          <w:sz w:val="15"/>
          <w:szCs w:val="15"/>
        </w:rPr>
      </w:pP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（五）理财产品</w:t>
      </w:r>
      <w:r>
        <w:rPr>
          <w:rFonts w:hint="eastAsia"/>
          <w:b/>
          <w:bCs/>
          <w:color w:val="auto"/>
          <w:spacing w:val="10"/>
          <w:kern w:val="2"/>
          <w:sz w:val="15"/>
          <w:szCs w:val="15"/>
        </w:rPr>
        <w:t>提前终止、赎回/到期兑付和税收。</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提前终止</w:t>
      </w:r>
      <w:r>
        <w:rPr>
          <w:color w:val="auto"/>
          <w:spacing w:val="10"/>
          <w:kern w:val="2"/>
          <w:sz w:val="15"/>
          <w:szCs w:val="15"/>
        </w:rPr>
        <w:t>—</w:t>
      </w:r>
      <w:r>
        <w:rPr>
          <w:rFonts w:hint="eastAsia"/>
          <w:color w:val="auto"/>
          <w:spacing w:val="10"/>
          <w:kern w:val="2"/>
          <w:sz w:val="15"/>
          <w:szCs w:val="15"/>
        </w:rPr>
        <w:t>当理财产品发生全部提前终止时，银行应当按照对应期次的《理财产品说明书》约定的方式向投资者告知相应理财产品的提前终止事宜。</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赎回/到期兑付</w:t>
      </w:r>
      <w:r>
        <w:rPr>
          <w:color w:val="auto"/>
          <w:spacing w:val="10"/>
          <w:kern w:val="2"/>
          <w:sz w:val="15"/>
          <w:szCs w:val="15"/>
        </w:rPr>
        <w:t>—</w:t>
      </w:r>
      <w:r>
        <w:rPr>
          <w:rFonts w:hint="eastAsia"/>
          <w:color w:val="auto"/>
          <w:spacing w:val="10"/>
          <w:kern w:val="2"/>
          <w:sz w:val="15"/>
          <w:szCs w:val="15"/>
        </w:rPr>
        <w:t>银行应当按照对应期次的《理财产品说明书》的相关约定，将赎回兑付款项划入销售文件约定的投资者授权指定账户。</w:t>
      </w:r>
      <w:r>
        <w:rPr>
          <w:rFonts w:hint="eastAsia" w:ascii="宋体" w:hAnsi="宋体"/>
          <w:spacing w:val="10"/>
          <w:sz w:val="15"/>
          <w:szCs w:val="15"/>
        </w:rPr>
        <w:t>如果发生特殊情形，</w:t>
      </w:r>
      <w:r>
        <w:rPr>
          <w:rFonts w:hint="eastAsia" w:ascii="宋体" w:hAnsi="宋体" w:eastAsia="宋体"/>
          <w:spacing w:val="10"/>
          <w:sz w:val="15"/>
          <w:szCs w:val="15"/>
        </w:rPr>
        <w:t>造成本产品的基础资产无法及时、足额变现，</w:t>
      </w:r>
      <w:r>
        <w:rPr>
          <w:rFonts w:hint="eastAsia" w:ascii="宋体" w:hAnsi="宋体"/>
          <w:spacing w:val="10"/>
          <w:sz w:val="15"/>
          <w:szCs w:val="15"/>
        </w:rPr>
        <w:t>银行</w:t>
      </w:r>
      <w:r>
        <w:rPr>
          <w:rFonts w:hint="eastAsia" w:ascii="宋体" w:hAnsi="宋体" w:eastAsia="宋体"/>
          <w:spacing w:val="10"/>
          <w:sz w:val="15"/>
          <w:szCs w:val="15"/>
        </w:rPr>
        <w:t>可以根据实际情况选择</w:t>
      </w:r>
      <w:r>
        <w:rPr>
          <w:rFonts w:hint="eastAsia" w:ascii="宋体" w:hAnsi="宋体"/>
          <w:spacing w:val="10"/>
          <w:sz w:val="15"/>
          <w:szCs w:val="15"/>
        </w:rPr>
        <w:t>向投资者提前兑付、延迟兑付或者分次兑付，并及时根据法律法规的要求向投资者披露</w:t>
      </w:r>
      <w:r>
        <w:rPr>
          <w:rFonts w:ascii="宋体" w:hAnsi="宋体" w:eastAsia="宋体"/>
          <w:spacing w:val="10"/>
          <w:sz w:val="15"/>
          <w:szCs w:val="15"/>
        </w:rPr>
        <w:t>兑付方</w:t>
      </w:r>
      <w:r>
        <w:rPr>
          <w:rFonts w:hint="eastAsia" w:ascii="宋体" w:hAnsi="宋体"/>
          <w:spacing w:val="10"/>
          <w:sz w:val="15"/>
          <w:szCs w:val="15"/>
        </w:rPr>
        <w:t>案。</w:t>
      </w:r>
    </w:p>
    <w:p>
      <w:pPr>
        <w:pStyle w:val="8"/>
        <w:spacing w:before="0" w:after="0" w:line="160" w:lineRule="exact"/>
        <w:ind w:firstLine="340" w:firstLineChars="200"/>
        <w:rPr>
          <w:color w:val="auto"/>
          <w:spacing w:val="10"/>
          <w:kern w:val="2"/>
          <w:sz w:val="15"/>
          <w:szCs w:val="15"/>
        </w:rPr>
      </w:pPr>
      <w:bookmarkStart w:id="16" w:name="OLE_LINK2"/>
      <w:r>
        <w:rPr>
          <w:rFonts w:hint="eastAsia"/>
          <w:color w:val="auto"/>
          <w:spacing w:val="10"/>
          <w:kern w:val="2"/>
          <w:sz w:val="15"/>
          <w:szCs w:val="15"/>
        </w:rPr>
        <w:t>税收</w:t>
      </w:r>
      <w:r>
        <w:rPr>
          <w:color w:val="auto"/>
          <w:spacing w:val="10"/>
          <w:kern w:val="2"/>
          <w:sz w:val="15"/>
          <w:szCs w:val="15"/>
        </w:rPr>
        <w:t>—</w:t>
      </w:r>
      <w:r>
        <w:rPr>
          <w:rFonts w:hint="eastAsia"/>
          <w:color w:val="auto"/>
          <w:spacing w:val="10"/>
          <w:kern w:val="2"/>
          <w:sz w:val="15"/>
          <w:szCs w:val="15"/>
        </w:rPr>
        <w:t>以对应期次的《理财产品说明书》约定的税务处理方式为准，如遇国家政策调整则相应执行最新政策。</w:t>
      </w:r>
    </w:p>
    <w:p>
      <w:pPr>
        <w:pStyle w:val="8"/>
        <w:spacing w:before="0" w:after="0" w:line="160" w:lineRule="exact"/>
        <w:ind w:firstLine="0"/>
        <w:rPr>
          <w:color w:val="auto"/>
          <w:spacing w:val="10"/>
          <w:kern w:val="2"/>
          <w:sz w:val="15"/>
          <w:szCs w:val="15"/>
        </w:rPr>
      </w:pPr>
    </w:p>
    <w:bookmarkEnd w:id="16"/>
    <w:p>
      <w:pPr>
        <w:pStyle w:val="8"/>
        <w:numPr>
          <w:ilvl w:val="0"/>
          <w:numId w:val="2"/>
        </w:numPr>
        <w:spacing w:before="0" w:after="0" w:line="160" w:lineRule="exact"/>
        <w:rPr>
          <w:b/>
          <w:color w:val="auto"/>
          <w:spacing w:val="10"/>
          <w:kern w:val="2"/>
          <w:sz w:val="15"/>
          <w:szCs w:val="15"/>
        </w:rPr>
      </w:pPr>
      <w:r>
        <w:rPr>
          <w:rFonts w:hint="eastAsia"/>
          <w:b/>
          <w:color w:val="auto"/>
          <w:spacing w:val="10"/>
          <w:kern w:val="2"/>
          <w:sz w:val="15"/>
          <w:szCs w:val="15"/>
        </w:rPr>
        <w:t>投资者风险承受能力评估流程说明</w:t>
      </w:r>
    </w:p>
    <w:p>
      <w:pPr>
        <w:pStyle w:val="8"/>
        <w:spacing w:before="0" w:after="0" w:line="160" w:lineRule="exact"/>
        <w:ind w:left="260" w:firstLine="0"/>
        <w:rPr>
          <w:b/>
          <w:color w:val="auto"/>
          <w:spacing w:val="10"/>
          <w:kern w:val="2"/>
          <w:sz w:val="15"/>
          <w:szCs w:val="15"/>
        </w:rPr>
      </w:pPr>
      <w:r>
        <w:rPr>
          <w:rFonts w:hint="eastAsia"/>
          <w:b/>
          <w:color w:val="auto"/>
          <w:spacing w:val="10"/>
          <w:kern w:val="2"/>
          <w:sz w:val="15"/>
          <w:szCs w:val="15"/>
        </w:rPr>
        <w:t>（一）个人投资者风险承受能力评估流程说明</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个人投资者风险承受能力评估说明。个人投资者在购买理财产品前应进行风险承受能力评估，银行应提供统一的《南京银行投资者风险测评问卷(个人版)》供个人投资者进行风险评估；银行对个人投资者风险承受能力评估的评级由低到高包括五级，分别为：低（一级）、中低（二级）、中（三级）、中高（四级）和高（五级）。</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●个人投资者风险承受能力评估内容。风险评估的内容主要包括：投资者年龄、财务状况、投资经验、投资目的、收益预期、风险偏好、流动性需求、风险认识以及风险损失承受程度等。</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●银行完成投资者风险评估后应当将评级结果告知个人投资者，由个人投资者签名确认后留存。</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个人投资者超过一年未进行风险评估或发生可能影响自身风险承受能力情况的，再次购买理财产品时，应当在银行网点或银行电子渠道完成风险承受能力持续评估，在银行网点柜面重新评估的，评估结果应当由投资者签名确认；</w:t>
      </w:r>
      <w:r>
        <w:rPr>
          <w:rFonts w:hint="eastAsia"/>
          <w:b/>
          <w:color w:val="auto"/>
          <w:spacing w:val="10"/>
          <w:kern w:val="2"/>
          <w:sz w:val="15"/>
          <w:szCs w:val="15"/>
          <w:u w:val="single"/>
        </w:rPr>
        <w:t>未进行持续风险评估的投资者不能再次购买银行理财产品。</w:t>
      </w:r>
    </w:p>
    <w:p>
      <w:pPr>
        <w:pStyle w:val="8"/>
        <w:spacing w:before="0" w:after="0" w:line="160" w:lineRule="exact"/>
        <w:ind w:firstLine="341" w:firstLineChars="200"/>
        <w:rPr>
          <w:b/>
          <w:color w:val="auto"/>
          <w:spacing w:val="10"/>
          <w:kern w:val="2"/>
          <w:sz w:val="15"/>
          <w:szCs w:val="15"/>
        </w:rPr>
      </w:pPr>
      <w:r>
        <w:rPr>
          <w:rFonts w:hint="eastAsia"/>
          <w:b/>
          <w:color w:val="auto"/>
          <w:spacing w:val="10"/>
          <w:kern w:val="2"/>
          <w:sz w:val="15"/>
          <w:szCs w:val="15"/>
        </w:rPr>
        <w:t>●特别提示：如个人投资者发生可能影响其自身风险承受能力的情况，再次购买理财产品时应当主动要求银行对其进行风险承受能力评估。</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●评级具体含义说明。个人投资者风险承受能力评估结果的含义如下：</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低（一级）：风险承受能力弱，不能承担本金损失的风险，且收益率不能低于银行活期存款利息率。</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中低（二级）：风险承受能力弱，希望通过投资达到资金保值的目的。</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中（三级）：风险承受能力一般，能接受投资导致本金有损失。</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中高（四级）：风险承受能力尚可，能承担一定比例的本金损失。</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高（五级）：风险承受能力强，能承担较大比例的本金损失。</w:t>
      </w:r>
    </w:p>
    <w:p>
      <w:pPr>
        <w:pStyle w:val="8"/>
        <w:spacing w:before="0" w:after="0" w:line="160" w:lineRule="exact"/>
        <w:ind w:left="260" w:firstLine="0"/>
        <w:rPr>
          <w:b/>
          <w:color w:val="auto"/>
          <w:spacing w:val="10"/>
          <w:kern w:val="2"/>
          <w:sz w:val="15"/>
          <w:szCs w:val="15"/>
        </w:rPr>
      </w:pPr>
      <w:r>
        <w:rPr>
          <w:rFonts w:hint="eastAsia"/>
          <w:b/>
          <w:color w:val="auto"/>
          <w:spacing w:val="10"/>
          <w:kern w:val="2"/>
          <w:sz w:val="15"/>
          <w:szCs w:val="15"/>
        </w:rPr>
        <w:t>（二）机构投资者风险承受能力评估流程说明</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机构投资者请根据自身的财务状况、投资经验、投资目标、风险认知、风险判断及其他因素综合考量理财产品的投资风险及自身的风险承受能力。机构投资者应自行履行其风险承受能力评估义务，并对此承担相应责任。</w:t>
      </w:r>
    </w:p>
    <w:p>
      <w:pPr>
        <w:pStyle w:val="8"/>
        <w:spacing w:before="0" w:after="0" w:line="160" w:lineRule="exact"/>
        <w:ind w:firstLine="341" w:firstLineChars="200"/>
        <w:rPr>
          <w:b/>
          <w:color w:val="auto"/>
          <w:spacing w:val="10"/>
          <w:kern w:val="2"/>
          <w:sz w:val="15"/>
          <w:szCs w:val="15"/>
        </w:rPr>
      </w:pPr>
      <w:r>
        <w:rPr>
          <w:rFonts w:hint="eastAsia"/>
          <w:b/>
          <w:color w:val="auto"/>
          <w:spacing w:val="10"/>
          <w:kern w:val="2"/>
          <w:sz w:val="15"/>
          <w:szCs w:val="15"/>
        </w:rPr>
        <w:t>（三）银行理财产品风险等级说明</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银行理财产品按运行方式和投资范围不同，其承担的风险程度各有不同，银行将其风险等级分为五级，分别为：低（一级）、中低（二级）、中（三级）、中高（四级）和高（五级）。</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●投资者风险承受能力等级与适合购买的理财产品说明</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829"/>
        <w:gridCol w:w="965"/>
        <w:gridCol w:w="761"/>
        <w:gridCol w:w="893"/>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201" w:type="dxa"/>
            <w:noWrap w:val="0"/>
            <w:vAlign w:val="center"/>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投资者风险承受能力</w:t>
            </w:r>
          </w:p>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等级</w:t>
            </w:r>
          </w:p>
        </w:tc>
        <w:tc>
          <w:tcPr>
            <w:tcW w:w="4276" w:type="dxa"/>
            <w:gridSpan w:val="5"/>
            <w:noWrap w:val="0"/>
            <w:vAlign w:val="center"/>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南京银行理财产品风险等级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201" w:type="dxa"/>
            <w:noWrap w:val="0"/>
            <w:vAlign w:val="top"/>
          </w:tcPr>
          <w:p>
            <w:pPr>
              <w:pStyle w:val="8"/>
              <w:spacing w:before="0" w:after="0" w:line="160" w:lineRule="exact"/>
              <w:ind w:firstLine="0"/>
              <w:jc w:val="center"/>
              <w:rPr>
                <w:color w:val="auto"/>
                <w:spacing w:val="10"/>
                <w:kern w:val="2"/>
                <w:sz w:val="15"/>
                <w:szCs w:val="15"/>
              </w:rPr>
            </w:pPr>
          </w:p>
        </w:tc>
        <w:tc>
          <w:tcPr>
            <w:tcW w:w="829"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低（一级）</w:t>
            </w:r>
          </w:p>
        </w:tc>
        <w:tc>
          <w:tcPr>
            <w:tcW w:w="965"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中低（二级）</w:t>
            </w:r>
          </w:p>
        </w:tc>
        <w:tc>
          <w:tcPr>
            <w:tcW w:w="761"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中（三级）</w:t>
            </w:r>
          </w:p>
        </w:tc>
        <w:tc>
          <w:tcPr>
            <w:tcW w:w="893"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中高（四级）</w:t>
            </w:r>
          </w:p>
        </w:tc>
        <w:tc>
          <w:tcPr>
            <w:tcW w:w="828"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高（五级）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低（一级）</w:t>
            </w:r>
          </w:p>
        </w:tc>
        <w:tc>
          <w:tcPr>
            <w:tcW w:w="829"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965"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761"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893"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828"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中低（二级）</w:t>
            </w:r>
          </w:p>
        </w:tc>
        <w:tc>
          <w:tcPr>
            <w:tcW w:w="829"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965"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761"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893"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828"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中（三级）</w:t>
            </w:r>
          </w:p>
        </w:tc>
        <w:tc>
          <w:tcPr>
            <w:tcW w:w="829"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965"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761"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893"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828"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中高（四级）</w:t>
            </w:r>
          </w:p>
        </w:tc>
        <w:tc>
          <w:tcPr>
            <w:tcW w:w="829"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965"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761"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893"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828"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高（五级）</w:t>
            </w:r>
          </w:p>
        </w:tc>
        <w:tc>
          <w:tcPr>
            <w:tcW w:w="829"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965"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761"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893"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828"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r>
    </w:tbl>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备注：√代表可以购买；×代表不能购买。</w:t>
      </w:r>
    </w:p>
    <w:p>
      <w:pPr>
        <w:pStyle w:val="8"/>
        <w:numPr>
          <w:ilvl w:val="0"/>
          <w:numId w:val="2"/>
        </w:numPr>
        <w:spacing w:before="0" w:after="0" w:line="160" w:lineRule="exact"/>
        <w:rPr>
          <w:b/>
          <w:color w:val="auto"/>
          <w:spacing w:val="10"/>
          <w:kern w:val="2"/>
          <w:sz w:val="15"/>
          <w:szCs w:val="15"/>
        </w:rPr>
      </w:pPr>
      <w:r>
        <w:rPr>
          <w:rFonts w:hint="eastAsia"/>
          <w:b/>
          <w:color w:val="auto"/>
          <w:spacing w:val="10"/>
          <w:kern w:val="2"/>
          <w:sz w:val="15"/>
          <w:szCs w:val="15"/>
        </w:rPr>
        <w:t>理财产品信息披露的方式、渠道和频率说明</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●银行按照对应期次《理财产品说明书》的约定的渠道，发布理财产品的成立、运作、到期清算或提前终止等信息公告。</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投资者预留在银行的有效联系方式变更的，应及时通知银行。如投资者未及时告知银行联系方式变更，造成银行在需要时无法联系投资者，并由此影响投资者的投资决策，因此而产生的责任和风险由投资者自行承担。</w:t>
      </w:r>
    </w:p>
    <w:p>
      <w:pPr>
        <w:pStyle w:val="8"/>
        <w:spacing w:before="0" w:after="0" w:line="160" w:lineRule="exact"/>
        <w:ind w:firstLine="341" w:firstLineChars="200"/>
        <w:rPr>
          <w:b/>
          <w:bCs/>
          <w:color w:val="auto"/>
          <w:spacing w:val="10"/>
          <w:kern w:val="2"/>
          <w:sz w:val="15"/>
          <w:szCs w:val="15"/>
        </w:rPr>
      </w:pPr>
      <w:r>
        <w:rPr>
          <w:rFonts w:hint="eastAsia"/>
          <w:b/>
          <w:bCs/>
          <w:color w:val="auto"/>
          <w:spacing w:val="10"/>
          <w:kern w:val="2"/>
          <w:sz w:val="15"/>
          <w:szCs w:val="15"/>
        </w:rPr>
        <w:t>第四条投资者信息保护</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●银行承诺依法履行投资者信息保密义务，防范投资者信息被不当采集、使用、传输和泄露，保护投资者的信息安全，法律法规另有规定，或有权机关另有要求的情形除外。</w:t>
      </w:r>
    </w:p>
    <w:p>
      <w:pPr>
        <w:pStyle w:val="8"/>
        <w:spacing w:before="0" w:after="0" w:line="160" w:lineRule="exact"/>
        <w:ind w:firstLine="341" w:firstLineChars="200"/>
        <w:rPr>
          <w:b/>
          <w:color w:val="auto"/>
          <w:spacing w:val="10"/>
          <w:kern w:val="2"/>
          <w:sz w:val="15"/>
          <w:szCs w:val="15"/>
        </w:rPr>
      </w:pPr>
      <w:r>
        <w:rPr>
          <w:rFonts w:hint="eastAsia"/>
          <w:b/>
          <w:color w:val="auto"/>
          <w:spacing w:val="10"/>
          <w:kern w:val="2"/>
          <w:sz w:val="15"/>
          <w:szCs w:val="15"/>
        </w:rPr>
        <w:t>第五条投资者向银行投诉的方式和程序</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●投资者若需投诉，请随时拨打银行全国统一客服热线进行投诉。</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●投资者的投诉将被记录，并在银行内部形成投诉处理工作单，银行相关部门和人员将在接到投资者的投诉后，按照相关流程进行处理。</w:t>
      </w:r>
    </w:p>
    <w:p>
      <w:pPr>
        <w:pStyle w:val="8"/>
        <w:spacing w:before="0" w:after="0" w:line="160" w:lineRule="exact"/>
        <w:ind w:firstLine="341" w:firstLineChars="200"/>
        <w:rPr>
          <w:b/>
          <w:color w:val="auto"/>
          <w:spacing w:val="10"/>
          <w:kern w:val="2"/>
          <w:sz w:val="15"/>
          <w:szCs w:val="15"/>
        </w:rPr>
      </w:pPr>
      <w:r>
        <w:rPr>
          <w:rFonts w:hint="eastAsia"/>
          <w:b/>
          <w:color w:val="auto"/>
          <w:spacing w:val="10"/>
          <w:kern w:val="2"/>
          <w:sz w:val="15"/>
          <w:szCs w:val="15"/>
        </w:rPr>
        <w:t>第六条银行联络方式</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●全国统一客服热线：95302。</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●银行网站：</w:t>
      </w:r>
      <w:r>
        <w:fldChar w:fldCharType="begin"/>
      </w:r>
      <w:r>
        <w:instrText xml:space="preserve"> HYPERLINK "http://www.njcb.com.cn" </w:instrText>
      </w:r>
      <w:r>
        <w:fldChar w:fldCharType="separate"/>
      </w:r>
      <w:r>
        <w:rPr>
          <w:rStyle w:val="12"/>
          <w:spacing w:val="10"/>
          <w:kern w:val="2"/>
          <w:sz w:val="15"/>
          <w:szCs w:val="15"/>
        </w:rPr>
        <w:t>www.njcb.com.cn</w:t>
      </w:r>
      <w:r>
        <w:rPr>
          <w:spacing w:val="10"/>
          <w:kern w:val="2"/>
          <w:sz w:val="15"/>
          <w:szCs w:val="15"/>
        </w:rPr>
        <w:fldChar w:fldCharType="end"/>
      </w:r>
      <w:r>
        <w:rPr>
          <w:rFonts w:hint="eastAsia"/>
          <w:color w:val="auto"/>
          <w:spacing w:val="10"/>
          <w:kern w:val="2"/>
          <w:sz w:val="15"/>
          <w:szCs w:val="15"/>
        </w:rPr>
        <w:t>。</w:t>
      </w:r>
    </w:p>
    <w:p>
      <w:pPr>
        <w:pStyle w:val="8"/>
        <w:spacing w:line="160" w:lineRule="exact"/>
        <w:ind w:firstLine="341" w:firstLineChars="200"/>
        <w:rPr>
          <w:b/>
          <w:color w:val="auto"/>
          <w:spacing w:val="10"/>
          <w:kern w:val="2"/>
          <w:sz w:val="15"/>
          <w:szCs w:val="15"/>
        </w:rPr>
      </w:pPr>
      <w:r>
        <w:rPr>
          <w:rFonts w:hint="eastAsia"/>
          <w:b/>
          <w:color w:val="auto"/>
          <w:spacing w:val="10"/>
          <w:kern w:val="2"/>
          <w:sz w:val="15"/>
          <w:szCs w:val="15"/>
        </w:rPr>
        <w:t>第七条重要须知</w:t>
      </w:r>
    </w:p>
    <w:p>
      <w:pPr>
        <w:pStyle w:val="8"/>
        <w:spacing w:before="0" w:after="0" w:line="0" w:lineRule="atLeast"/>
        <w:ind w:firstLine="341" w:firstLineChars="200"/>
        <w:rPr>
          <w:b/>
          <w:color w:val="auto"/>
          <w:spacing w:val="10"/>
          <w:kern w:val="2"/>
          <w:sz w:val="15"/>
          <w:szCs w:val="15"/>
          <w:u w:val="single"/>
        </w:rPr>
      </w:pPr>
      <w:r>
        <w:rPr>
          <w:rFonts w:hint="eastAsia"/>
          <w:b/>
          <w:spacing w:val="10"/>
          <w:sz w:val="15"/>
          <w:szCs w:val="15"/>
        </w:rPr>
        <w:t>本理财产品由南京银行股份有限公司理财业务专营部门资产管理业务中心进行管理。根据《商业银行理财业务监督管理办法》第十四条的规定：“商业银行应当通过具有独立法人地位的理财子公司开展理财业务。暂不具备条件的，商业银行总行应当设立理财业务专营部门，对理财业务实行集中统一经营管理。”南京银行已于2019年12月19日</w:t>
      </w:r>
      <w:r>
        <w:rPr>
          <w:rFonts w:hint="eastAsia"/>
          <w:b/>
          <w:spacing w:val="10"/>
          <w:sz w:val="15"/>
          <w:szCs w:val="15"/>
          <w:lang w:val="en-US" w:eastAsia="zh-CN"/>
        </w:rPr>
        <w:t>公告</w:t>
      </w:r>
      <w:r>
        <w:rPr>
          <w:rFonts w:hint="eastAsia"/>
          <w:b/>
          <w:spacing w:val="10"/>
          <w:sz w:val="15"/>
          <w:szCs w:val="15"/>
        </w:rPr>
        <w:t>获中国银保监会批复筹建南京银行理财子公司，未来，对于由南京银行发行运作、且符合监管规定的可划转的理财产品，将逐步由南京银行划转至南京银行理财子公司，并进行理财产品销售文件的变更，由南京银行理财子公司作为管理人继续勤勉尽责地开展产品管理工作。如投资者购买本产品，则视为同意届时本产品管理人由南京银行变更为南京银行理财子公司，投资者已充分认识到本产品管理人的变更可能存在的风险，并对该等变更无任何异议。具体管理人变更及产品划转安排将按照相关信息披露要求进行披露，请投资者及时关注相关信息。即使本理财产品销售文件中有其他约定，关于本理财产品管理人变更的事宜仍以本条约定为准。</w:t>
      </w:r>
    </w:p>
    <w:p>
      <w:pPr>
        <w:pStyle w:val="8"/>
        <w:spacing w:before="0" w:after="0" w:line="0" w:lineRule="atLeast"/>
        <w:ind w:firstLine="0"/>
        <w:jc w:val="center"/>
        <w:rPr>
          <w:b/>
          <w:color w:val="auto"/>
          <w:spacing w:val="10"/>
          <w:kern w:val="2"/>
          <w:sz w:val="15"/>
          <w:szCs w:val="15"/>
          <w:u w:val="single"/>
        </w:rPr>
      </w:pPr>
    </w:p>
    <w:p>
      <w:pPr>
        <w:pStyle w:val="8"/>
        <w:spacing w:before="0" w:after="0" w:line="0" w:lineRule="atLeast"/>
        <w:ind w:firstLine="0"/>
        <w:jc w:val="center"/>
        <w:rPr>
          <w:b/>
          <w:color w:val="auto"/>
          <w:spacing w:val="10"/>
          <w:kern w:val="2"/>
          <w:sz w:val="15"/>
          <w:szCs w:val="15"/>
          <w:u w:val="single"/>
        </w:rPr>
      </w:pPr>
      <w:r>
        <w:rPr>
          <w:rFonts w:hint="eastAsia"/>
          <w:b/>
          <w:color w:val="auto"/>
          <w:spacing w:val="10"/>
          <w:kern w:val="2"/>
          <w:sz w:val="15"/>
          <w:szCs w:val="15"/>
          <w:u w:val="single"/>
        </w:rPr>
        <w:t>仔细阅读提示</w:t>
      </w:r>
    </w:p>
    <w:p>
      <w:pPr>
        <w:pStyle w:val="8"/>
        <w:spacing w:before="0" w:after="0" w:line="0" w:lineRule="atLeast"/>
        <w:ind w:firstLine="0"/>
        <w:rPr>
          <w:b/>
          <w:color w:val="auto"/>
          <w:spacing w:val="10"/>
          <w:kern w:val="2"/>
          <w:sz w:val="15"/>
          <w:szCs w:val="15"/>
          <w:u w:val="single"/>
        </w:rPr>
      </w:pPr>
      <w:r>
        <w:rPr>
          <w:rFonts w:hint="eastAsia"/>
          <w:b/>
          <w:color w:val="auto"/>
          <w:spacing w:val="10"/>
          <w:kern w:val="2"/>
          <w:sz w:val="15"/>
          <w:szCs w:val="15"/>
          <w:u w:val="single"/>
        </w:rPr>
        <w:t>请投资者一定仔细阅读本理财产品销售文件，包括但不限于：《理财产品销售协议书》、《理财产品说明书》、《理财产品风险揭示书》、《投资者权益须知》等，了解理财产品具体情况，关注投资风险，自主决定是否投资。</w:t>
      </w:r>
    </w:p>
    <w:p>
      <w:pPr>
        <w:rPr>
          <w:sz w:val="36"/>
        </w:rPr>
        <w:sectPr>
          <w:headerReference r:id="rId3" w:type="default"/>
          <w:footerReference r:id="rId4" w:type="default"/>
          <w:type w:val="continuous"/>
          <w:pgSz w:w="11906" w:h="16838"/>
          <w:pgMar w:top="720" w:right="720" w:bottom="720" w:left="720" w:header="851" w:footer="992" w:gutter="0"/>
          <w:pgNumType w:fmt="decimal" w:start="1"/>
          <w:cols w:space="720" w:num="1"/>
          <w:docGrid w:type="lines" w:linePitch="312" w:charSpace="0"/>
        </w:sect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Style w:val="13"/>
        </w:rPr>
      </w:pPr>
    </w:p>
    <w:p>
      <w:pPr>
        <w:spacing w:line="0" w:lineRule="atLeast"/>
        <w:jc w:val="center"/>
        <w:rPr>
          <w:rStyle w:val="13"/>
        </w:rPr>
      </w:pPr>
      <w:r>
        <w:rPr>
          <w:rStyle w:val="13"/>
        </w:rPr>
        <w:br w:type="page"/>
      </w:r>
    </w:p>
    <w:p>
      <w:pPr>
        <w:spacing w:line="0" w:lineRule="atLeast"/>
        <w:jc w:val="center"/>
        <w:rPr>
          <w:rFonts w:ascii="黑体" w:hAnsi="宋体" w:eastAsia="黑体"/>
          <w:b/>
          <w:bCs/>
          <w:sz w:val="24"/>
          <w:szCs w:val="15"/>
        </w:rPr>
      </w:pPr>
      <w:r>
        <w:rPr>
          <w:rFonts w:hint="eastAsia" w:ascii="黑体" w:hAnsi="宋体" w:eastAsia="黑体"/>
          <w:b/>
          <w:bCs/>
          <w:sz w:val="24"/>
          <w:szCs w:val="15"/>
        </w:rPr>
        <w:t>南京银行理财产品销售协议书</w:t>
      </w:r>
    </w:p>
    <w:p>
      <w:pPr>
        <w:spacing w:line="200" w:lineRule="exact"/>
        <w:ind w:firstLine="300" w:firstLineChars="200"/>
        <w:rPr>
          <w:rFonts w:ascii="方正细黑一简体" w:hAnsi="宋体" w:eastAsia="方正细黑一简体"/>
          <w:sz w:val="15"/>
          <w:szCs w:val="15"/>
        </w:rPr>
      </w:pPr>
    </w:p>
    <w:p>
      <w:pPr>
        <w:spacing w:line="200" w:lineRule="exact"/>
        <w:ind w:firstLine="300" w:firstLineChars="200"/>
        <w:rPr>
          <w:rFonts w:ascii="方正细黑一简体" w:hAnsi="宋体" w:eastAsia="方正细黑一简体"/>
          <w:sz w:val="15"/>
          <w:szCs w:val="15"/>
        </w:rPr>
      </w:pPr>
      <w:r>
        <w:rPr>
          <w:rFonts w:hint="eastAsia" w:ascii="方正细黑一简体" w:hAnsi="宋体" w:eastAsia="方正细黑一简体"/>
          <w:sz w:val="15"/>
          <w:szCs w:val="15"/>
        </w:rPr>
        <w:t>经甲方（</w:t>
      </w:r>
      <w:r>
        <w:rPr>
          <w:rFonts w:hint="eastAsia" w:ascii="方正细黑一简体" w:hAnsi="宋体" w:eastAsia="方正细黑一简体"/>
          <w:sz w:val="15"/>
          <w:szCs w:val="15"/>
          <w:u w:val="single"/>
          <w:lang w:eastAsia="zh-CN"/>
        </w:rPr>
        <w:t xml:space="preserve"> </w:t>
      </w:r>
      <w:r>
        <w:rPr>
          <w:rFonts w:hint="eastAsia" w:ascii="方正细黑一简体" w:hAnsi="宋体" w:eastAsia="方正细黑一简体"/>
          <w:sz w:val="15"/>
          <w:szCs w:val="15"/>
          <w:u w:val="single"/>
          <w:lang w:val="en-US" w:eastAsia="zh-CN"/>
        </w:rPr>
        <w:t xml:space="preserve">                </w:t>
      </w:r>
      <w:r>
        <w:rPr>
          <w:rFonts w:hint="eastAsia" w:ascii="方正细黑一简体" w:hAnsi="宋体" w:eastAsia="方正细黑一简体"/>
          <w:sz w:val="15"/>
          <w:szCs w:val="15"/>
        </w:rPr>
        <w:t>）与乙方（投资者）双方平等友好协商，本着平等自愿、诚实守信的原则，就乙方在甲方购买人民币理财产品的有关事宜达成协议如下：</w:t>
      </w:r>
    </w:p>
    <w:p>
      <w:pPr>
        <w:numPr>
          <w:ilvl w:val="0"/>
          <w:numId w:val="3"/>
        </w:num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名词释义</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（1）认购期/募集期：是指银行确定的接受投资者认购本理财产品的起止期限。</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（2）理财存续期：是指理财产品成立至终止的期间。</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（3）名义到期日：是指在银行未对本理财产品提前终止的情况下本理财产品的到期日期。</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（4）实际到期日：是指银行实际开始停止计算本理财产品收益的日期。若本理财产品未被提前终止，则实际到期日即为名义到期日；若本理财产品被提前终止，则实际到期日为提前终止权行使日。</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（5）工作日：是指除国家法定节假日和休息日(休息日包括周六、周日)外的日期。</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（6）固定收益类理财产品：是指投资于存款、债券等债权类资产的比例不低于80%的理财产品。</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（7）权益类理财产品：是指投资于权益类资产的比例不低于80%的理财产品。</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（8）商品及金融衍生品类理财产品：是指投资于商品及金融衍生品的比例不低于80%的理财产品。</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（9）混合类理财产品：是指投资于债权类资产、权益类资产、商品及金融衍生品类资产且任一资产的投资比例未达到80%的理财产品。</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（10）公募理财产品：是指面向不特定社会公众公开发行的理财产品。</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（11）私募理财产品：是指面向合格投资者非公开发行的理财产品。</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（12）投资冷静期：私募理财产品的投资者自其签署《理财产品销售协议》的时点起的至少24小时为该投资者的投资冷静期。</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（13）授权指定账户：指投资者用于支付理财产品的认/申购投资资金，并用于接收理财产品的赎回/兑付款项的银行账户。</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（14）银行：指南京银行股份有限公司。</w:t>
      </w:r>
    </w:p>
    <w:p>
      <w:pPr>
        <w:numPr>
          <w:ilvl w:val="0"/>
          <w:numId w:val="0"/>
        </w:numPr>
        <w:spacing w:line="200" w:lineRule="exact"/>
        <w:ind w:firstLine="340" w:firstLineChars="200"/>
        <w:rPr>
          <w:rFonts w:hint="eastAsia" w:ascii="宋体" w:hAnsi="宋体"/>
          <w:spacing w:val="10"/>
          <w:sz w:val="15"/>
          <w:szCs w:val="15"/>
        </w:rPr>
      </w:pPr>
      <w:r>
        <w:rPr>
          <w:rFonts w:hint="eastAsia" w:ascii="宋体" w:hAnsi="宋体"/>
          <w:spacing w:val="10"/>
          <w:sz w:val="15"/>
          <w:szCs w:val="15"/>
        </w:rPr>
        <w:t>（15）投资者：指购买南京银行发行的相关理财产品的符合相关法律法规及监管要求的个人或机构。</w:t>
      </w:r>
    </w:p>
    <w:p>
      <w:pPr>
        <w:numPr>
          <w:ilvl w:val="0"/>
          <w:numId w:val="0"/>
        </w:numPr>
        <w:spacing w:line="200" w:lineRule="exact"/>
        <w:ind w:firstLine="340" w:firstLineChars="200"/>
        <w:rPr>
          <w:rFonts w:hint="eastAsia" w:ascii="宋体" w:hAnsi="宋体"/>
          <w:spacing w:val="10"/>
          <w:sz w:val="15"/>
          <w:szCs w:val="15"/>
          <w:lang w:val="en-US" w:eastAsia="zh-CN"/>
        </w:rPr>
      </w:pPr>
      <w:r>
        <w:rPr>
          <w:rFonts w:hint="eastAsia" w:ascii="宋体" w:hAnsi="宋体"/>
          <w:spacing w:val="10"/>
          <w:sz w:val="15"/>
          <w:szCs w:val="15"/>
          <w:lang w:val="en-US" w:eastAsia="zh-CN"/>
        </w:rPr>
        <w:t>（16）理财销售文件/销售文件：指理财产品对应的</w:t>
      </w:r>
      <w:r>
        <w:rPr>
          <w:rFonts w:hint="eastAsia" w:ascii="宋体" w:hAnsi="宋体"/>
          <w:spacing w:val="10"/>
          <w:kern w:val="2"/>
          <w:sz w:val="15"/>
          <w:szCs w:val="15"/>
        </w:rPr>
        <w:t>《理财产品销售协议书》、《理财产品说明书》、《理财产品风险揭示书》、《投资者权益须知》</w:t>
      </w:r>
      <w:r>
        <w:rPr>
          <w:rFonts w:hint="eastAsia" w:ascii="宋体" w:hAnsi="宋体"/>
          <w:spacing w:val="10"/>
          <w:kern w:val="2"/>
          <w:sz w:val="15"/>
          <w:szCs w:val="15"/>
          <w:lang w:eastAsia="zh-CN"/>
        </w:rPr>
        <w:t>等</w:t>
      </w:r>
      <w:r>
        <w:rPr>
          <w:rFonts w:hint="eastAsia" w:ascii="宋体" w:hAnsi="宋体"/>
          <w:spacing w:val="10"/>
          <w:sz w:val="15"/>
          <w:szCs w:val="15"/>
        </w:rPr>
        <w:t>有关法律文件，上述法律文件共同构成一份完整且不可分割的理财合同</w:t>
      </w:r>
      <w:r>
        <w:rPr>
          <w:rFonts w:hint="eastAsia" w:ascii="宋体" w:hAnsi="宋体"/>
          <w:spacing w:val="10"/>
          <w:kern w:val="2"/>
          <w:sz w:val="15"/>
          <w:szCs w:val="15"/>
          <w:lang w:eastAsia="zh-CN"/>
        </w:rPr>
        <w:t>。</w:t>
      </w:r>
    </w:p>
    <w:p>
      <w:pPr>
        <w:numPr>
          <w:ilvl w:val="0"/>
          <w:numId w:val="3"/>
        </w:numPr>
        <w:spacing w:line="200" w:lineRule="exact"/>
        <w:ind w:firstLine="341" w:firstLineChars="200"/>
        <w:rPr>
          <w:rFonts w:ascii="宋体" w:hAnsi="宋体"/>
          <w:b/>
          <w:bCs/>
          <w:spacing w:val="10"/>
          <w:sz w:val="15"/>
          <w:szCs w:val="15"/>
        </w:rPr>
      </w:pPr>
      <w:r>
        <w:rPr>
          <w:rFonts w:ascii="宋体" w:hAnsi="宋体"/>
          <w:b/>
          <w:bCs/>
          <w:spacing w:val="10"/>
          <w:sz w:val="15"/>
          <w:szCs w:val="15"/>
        </w:rPr>
        <w:t>甲方的权利与义务</w:t>
      </w:r>
      <w:r>
        <w:rPr>
          <w:rFonts w:hint="eastAsia" w:ascii="宋体" w:hAnsi="宋体"/>
          <w:b/>
          <w:bCs/>
          <w:spacing w:val="10"/>
          <w:sz w:val="15"/>
          <w:szCs w:val="15"/>
        </w:rPr>
        <w:t>：</w:t>
      </w:r>
    </w:p>
    <w:p>
      <w:pPr>
        <w:numPr>
          <w:ilvl w:val="0"/>
          <w:numId w:val="4"/>
        </w:numPr>
        <w:spacing w:line="200" w:lineRule="exact"/>
        <w:ind w:firstLine="340" w:firstLineChars="200"/>
        <w:rPr>
          <w:rFonts w:ascii="宋体" w:hAnsi="宋体"/>
          <w:spacing w:val="10"/>
          <w:sz w:val="15"/>
          <w:szCs w:val="15"/>
        </w:rPr>
      </w:pPr>
      <w:r>
        <w:rPr>
          <w:rFonts w:hint="eastAsia" w:ascii="宋体" w:hAnsi="宋体"/>
          <w:spacing w:val="10"/>
          <w:sz w:val="15"/>
          <w:szCs w:val="15"/>
        </w:rPr>
        <w:t>甲方应当履行恪尽职守、勤勉尽责、诚实守信、有效管理的义务。</w:t>
      </w:r>
    </w:p>
    <w:p>
      <w:pPr>
        <w:numPr>
          <w:ilvl w:val="0"/>
          <w:numId w:val="4"/>
        </w:numPr>
        <w:spacing w:line="200" w:lineRule="exact"/>
        <w:ind w:firstLine="340" w:firstLineChars="200"/>
        <w:rPr>
          <w:rFonts w:ascii="宋体" w:hAnsi="宋体"/>
          <w:spacing w:val="10"/>
          <w:sz w:val="15"/>
          <w:szCs w:val="15"/>
        </w:rPr>
      </w:pPr>
      <w:r>
        <w:rPr>
          <w:rFonts w:hint="eastAsia" w:ascii="宋体" w:hAnsi="宋体"/>
          <w:spacing w:val="10"/>
          <w:sz w:val="15"/>
          <w:szCs w:val="15"/>
        </w:rPr>
        <w:t>在本协议约定的投资范围和权限内，甲方拥有管理和运用理财资金的权利，并有权按照对应期次《理财产品说明书》的约定收取相应费用。</w:t>
      </w:r>
    </w:p>
    <w:p>
      <w:pPr>
        <w:numPr>
          <w:ilvl w:val="0"/>
          <w:numId w:val="4"/>
        </w:numPr>
        <w:spacing w:line="200" w:lineRule="exact"/>
        <w:ind w:firstLine="340" w:firstLineChars="200"/>
        <w:rPr>
          <w:rFonts w:ascii="宋体" w:hAnsi="宋体"/>
          <w:spacing w:val="10"/>
          <w:sz w:val="15"/>
          <w:szCs w:val="15"/>
        </w:rPr>
      </w:pPr>
      <w:r>
        <w:rPr>
          <w:rFonts w:hint="eastAsia" w:ascii="宋体" w:hAnsi="宋体"/>
          <w:spacing w:val="10"/>
          <w:sz w:val="15"/>
          <w:szCs w:val="15"/>
        </w:rPr>
        <w:t>甲方作为理财产品管理人，全权负责理财产品资金的运用和理财产品资产的管理，有权参加与理财产品所投资资产相关的所有会议，并对相关事项进行表决；甲方有权并代表乙方利益，按照法律法规和监管部门相关规定对理财产品投资产生的风险资产进行多种方式的处置，包括但不限于转让、重组、债转股、资产证券化、催收、抵债资产收取与处置、破产重整等。</w:t>
      </w:r>
    </w:p>
    <w:p>
      <w:pPr>
        <w:numPr>
          <w:ilvl w:val="0"/>
          <w:numId w:val="4"/>
        </w:num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甲方有权按照法律法规和监管要求，报送乙方身份信息及其持有理财产品信息；在甲方办理与理财产品相关事项所需的情况下，乙方同意并授权甲方向甲方集团成员、服务机构及其他甲方认为必要的业务合作机构提供甲方获取的乙方信息。甲方应向上述被披露方明确其保护乙方信息的职责并要求其承担相应保密义务。</w:t>
      </w:r>
    </w:p>
    <w:p>
      <w:pPr>
        <w:numPr>
          <w:ilvl w:val="0"/>
          <w:numId w:val="0"/>
        </w:num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3.</w:t>
      </w:r>
      <w:r>
        <w:rPr>
          <w:rFonts w:ascii="宋体" w:hAnsi="宋体"/>
          <w:b/>
          <w:bCs/>
          <w:spacing w:val="10"/>
          <w:sz w:val="15"/>
          <w:szCs w:val="15"/>
        </w:rPr>
        <w:t>乙方的权利与义务</w:t>
      </w:r>
      <w:r>
        <w:rPr>
          <w:rFonts w:hint="eastAsia" w:ascii="宋体" w:hAnsi="宋体"/>
          <w:b/>
          <w:bCs/>
          <w:spacing w:val="10"/>
          <w:sz w:val="15"/>
          <w:szCs w:val="15"/>
        </w:rPr>
        <w:t>：</w:t>
      </w:r>
    </w:p>
    <w:p>
      <w:pPr>
        <w:numPr>
          <w:ilvl w:val="0"/>
          <w:numId w:val="5"/>
        </w:numPr>
        <w:spacing w:line="200" w:lineRule="exact"/>
        <w:ind w:firstLine="340"/>
        <w:rPr>
          <w:rFonts w:ascii="宋体" w:hAnsi="宋体"/>
          <w:spacing w:val="10"/>
          <w:sz w:val="15"/>
          <w:szCs w:val="15"/>
        </w:rPr>
      </w:pPr>
      <w:r>
        <w:rPr>
          <w:rFonts w:hint="eastAsia" w:ascii="宋体" w:hAnsi="宋体"/>
          <w:spacing w:val="10"/>
          <w:sz w:val="15"/>
          <w:szCs w:val="15"/>
        </w:rPr>
        <w:t>乙方应当保证其理财资金为合法拥有的自有资金，不存在涉嫌洗钱、恶意逃避税收征收管理等违法违规行为。乙方不得使用贷款、发行债券等方式筹集的非自有资金购买理财产品。乙方将其自有资金用作本理财协议条款项下理财交易并不违反相关法律、法规、规章、规定、法院裁定或命令的要求，乙方能够自行识别、判断和承担理财产品的相关风险；不存在法律法规、有权机关或主管机关禁止或限制购买理财产品的各种情形。乙方按其投资金额在本理财协议中享有相应的权利，承担相应的义务和风险。</w:t>
      </w:r>
    </w:p>
    <w:p>
      <w:pPr>
        <w:numPr>
          <w:ilvl w:val="0"/>
          <w:numId w:val="5"/>
        </w:numPr>
        <w:spacing w:line="200" w:lineRule="exact"/>
        <w:ind w:firstLine="340"/>
        <w:rPr>
          <w:rFonts w:ascii="宋体" w:hAnsi="宋体"/>
          <w:spacing w:val="10"/>
          <w:sz w:val="15"/>
          <w:szCs w:val="15"/>
        </w:rPr>
      </w:pPr>
      <w:r>
        <w:rPr>
          <w:rFonts w:hint="eastAsia" w:ascii="宋体" w:hAnsi="宋体"/>
          <w:spacing w:val="10"/>
          <w:sz w:val="15"/>
          <w:szCs w:val="15"/>
        </w:rPr>
        <w:t>乙方保证其已知悉甲方并非乙方的投资顾问或其他顾问，乙方并未依赖于甲方和/或甲方的雇员、代理人或关联机构对其所作的任何陈述(不论口头或书面)而决定投资于理财产品。</w:t>
      </w:r>
    </w:p>
    <w:p>
      <w:pPr>
        <w:numPr>
          <w:ilvl w:val="0"/>
          <w:numId w:val="5"/>
        </w:numPr>
        <w:spacing w:line="200" w:lineRule="exact"/>
        <w:ind w:firstLine="340"/>
        <w:rPr>
          <w:rFonts w:ascii="宋体" w:hAnsi="宋体"/>
          <w:spacing w:val="10"/>
          <w:sz w:val="15"/>
          <w:szCs w:val="15"/>
        </w:rPr>
      </w:pPr>
      <w:r>
        <w:rPr>
          <w:rFonts w:hint="eastAsia" w:ascii="宋体" w:hAnsi="宋体"/>
          <w:spacing w:val="10"/>
          <w:sz w:val="15"/>
          <w:szCs w:val="15"/>
        </w:rPr>
        <w:t>乙方保证其有权利签署本协议和履行本协议所述的义务，并已为此采取一切所需的行为。</w:t>
      </w:r>
    </w:p>
    <w:p>
      <w:pPr>
        <w:numPr>
          <w:ilvl w:val="0"/>
          <w:numId w:val="5"/>
        </w:numPr>
        <w:spacing w:line="200" w:lineRule="exact"/>
        <w:ind w:firstLine="340" w:firstLineChars="200"/>
        <w:rPr>
          <w:rFonts w:ascii="宋体" w:hAnsi="宋体"/>
          <w:spacing w:val="10"/>
          <w:sz w:val="15"/>
          <w:szCs w:val="15"/>
        </w:rPr>
      </w:pPr>
      <w:r>
        <w:rPr>
          <w:rFonts w:hint="eastAsia" w:ascii="宋体" w:hAnsi="宋体"/>
          <w:spacing w:val="10"/>
          <w:sz w:val="15"/>
          <w:szCs w:val="15"/>
        </w:rPr>
        <w:t>乙方保证执行及交付任何文件或履行本协议项下的义务，均不会违反(i)任何适用法律、法规、法令或法律限制，任何法院或其他政府机关所作出的适用于乙方或乙方任何资产的指令或判决；(ii)对乙方或乙方任何资产有约束力的任何重大协议条款。乙方应在签署本协议的同时在授权指定账户存入足额的资金以确保账户余额大于或等于认/申购金额。</w:t>
      </w:r>
    </w:p>
    <w:p>
      <w:pPr>
        <w:pStyle w:val="4"/>
        <w:numPr>
          <w:ilvl w:val="0"/>
          <w:numId w:val="5"/>
        </w:numPr>
        <w:spacing w:line="200" w:lineRule="exact"/>
        <w:ind w:firstLine="340"/>
        <w:rPr>
          <w:rFonts w:ascii="宋体" w:hAnsi="宋体"/>
          <w:b/>
          <w:bCs/>
          <w:spacing w:val="10"/>
          <w:sz w:val="15"/>
          <w:szCs w:val="15"/>
          <w:highlight w:val="none"/>
        </w:rPr>
      </w:pPr>
      <w:r>
        <w:rPr>
          <w:rFonts w:hint="eastAsia" w:ascii="宋体" w:hAnsi="宋体"/>
          <w:b/>
          <w:bCs/>
          <w:spacing w:val="10"/>
          <w:sz w:val="15"/>
          <w:szCs w:val="15"/>
        </w:rPr>
        <w:t>本协议终止前，乙方应保证其“授权指定账户”处于正常状态，乙方授权指定账户发生资金余额不足、挂失、换卡、长期不动户等特殊情况或被有权机关采取冻结、扣划、强制措施等变更或异常情形，导致认</w:t>
      </w:r>
      <w:r>
        <w:rPr>
          <w:rFonts w:ascii="宋体" w:hAnsi="宋体"/>
          <w:b/>
          <w:bCs/>
          <w:spacing w:val="10"/>
          <w:sz w:val="15"/>
          <w:szCs w:val="15"/>
        </w:rPr>
        <w:t>/</w:t>
      </w:r>
      <w:r>
        <w:rPr>
          <w:rFonts w:hint="eastAsia" w:ascii="宋体" w:hAnsi="宋体"/>
          <w:b/>
          <w:bCs/>
          <w:spacing w:val="10"/>
          <w:sz w:val="15"/>
          <w:szCs w:val="15"/>
        </w:rPr>
        <w:t>申购不成功，以及</w:t>
      </w:r>
      <w:r>
        <w:rPr>
          <w:rFonts w:hint="eastAsia" w:ascii="宋体" w:hAnsi="宋体"/>
          <w:b/>
          <w:bCs/>
          <w:spacing w:val="10"/>
          <w:sz w:val="15"/>
          <w:szCs w:val="15"/>
          <w:highlight w:val="none"/>
        </w:rPr>
        <w:t>在本理财产品存续期内如因有权机关依法采取强制措施导致理财份额、理财账户、授权指定账户被冻结或扣划的，甲方对此不承担任何责任。</w:t>
      </w:r>
    </w:p>
    <w:p>
      <w:pPr>
        <w:pStyle w:val="4"/>
        <w:numPr>
          <w:ilvl w:val="0"/>
          <w:numId w:val="5"/>
        </w:numPr>
        <w:spacing w:line="200" w:lineRule="exact"/>
        <w:ind w:firstLine="340"/>
        <w:rPr>
          <w:rFonts w:ascii="宋体" w:hAnsi="宋体"/>
          <w:b/>
          <w:bCs/>
          <w:spacing w:val="10"/>
          <w:sz w:val="15"/>
          <w:szCs w:val="15"/>
        </w:rPr>
      </w:pPr>
      <w:r>
        <w:rPr>
          <w:rFonts w:hint="eastAsia" w:ascii="宋体" w:hAnsi="宋体"/>
          <w:b/>
          <w:bCs/>
          <w:spacing w:val="10"/>
          <w:sz w:val="15"/>
          <w:szCs w:val="15"/>
          <w:highlight w:val="none"/>
        </w:rPr>
        <w:t>在本理财产品存续期内，如有权机关要求甲方配合对乙方理财份额、理财账户、授权指定账户进行查封、冻结或扣划的，甲方有权根据实际情况采取如下措施，包括但不限于全额或部分终止理财交易、停止向投资者支付投资本金及投资收益。由于提前终止交易而产生的一切损失及费用将由乙方承担，甲方有权将此损失及费用从乙方的授权指定账户、理财本金及收益中扣除。甲方对上述后果不承担任何责任。</w:t>
      </w:r>
    </w:p>
    <w:p>
      <w:pPr>
        <w:numPr>
          <w:ilvl w:val="0"/>
          <w:numId w:val="5"/>
        </w:num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本协议终止前，乙方不得将授权指定账户销户。若发生因乙方注销授权指定账户造成理财产品无法正常兑付的，甲方不承担任何责任。</w:t>
      </w:r>
    </w:p>
    <w:p>
      <w:pPr>
        <w:numPr>
          <w:ilvl w:val="0"/>
          <w:numId w:val="5"/>
        </w:num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乙方应确保其提供的所有资料真实、完整、合法、有效，如果有任何变更，乙方应及时通知甲方并办理变更手续。如因乙方未及时通知甲方并办理相应的变更手续，由此导致的一切后果由乙方自行承担，甲方对此不承担任何责任。</w:t>
      </w:r>
    </w:p>
    <w:p>
      <w:pPr>
        <w:numPr>
          <w:ilvl w:val="0"/>
          <w:numId w:val="5"/>
        </w:numPr>
        <w:spacing w:line="200" w:lineRule="exact"/>
        <w:ind w:firstLine="340" w:firstLineChars="200"/>
        <w:rPr>
          <w:rFonts w:ascii="宋体" w:hAnsi="宋体"/>
          <w:spacing w:val="10"/>
          <w:sz w:val="15"/>
          <w:szCs w:val="15"/>
        </w:rPr>
      </w:pPr>
      <w:r>
        <w:rPr>
          <w:rFonts w:hint="eastAsia" w:ascii="宋体" w:hAnsi="宋体"/>
          <w:spacing w:val="10"/>
          <w:sz w:val="15"/>
          <w:szCs w:val="15"/>
        </w:rPr>
        <w:t>乙方进行投资时，应严格遵守反洗钱相关法规的规定，切实履行反洗钱及反恐怖融资义务。</w:t>
      </w:r>
    </w:p>
    <w:p>
      <w:pPr>
        <w:spacing w:line="200" w:lineRule="exact"/>
        <w:ind w:firstLine="341" w:firstLineChars="200"/>
        <w:rPr>
          <w:rFonts w:ascii="宋体" w:hAnsi="宋体"/>
          <w:spacing w:val="10"/>
          <w:sz w:val="15"/>
          <w:szCs w:val="15"/>
        </w:rPr>
      </w:pPr>
      <w:r>
        <w:rPr>
          <w:rFonts w:hint="eastAsia" w:ascii="宋体" w:hAnsi="宋体"/>
          <w:b/>
          <w:bCs/>
          <w:spacing w:val="10"/>
          <w:sz w:val="15"/>
          <w:szCs w:val="15"/>
        </w:rPr>
        <w:t>4.产品认购、赎回</w:t>
      </w:r>
    </w:p>
    <w:p>
      <w:pPr>
        <w:spacing w:line="200" w:lineRule="exact"/>
        <w:ind w:firstLine="340" w:firstLineChars="200"/>
        <w:rPr>
          <w:rFonts w:ascii="宋体" w:hAnsi="宋体"/>
          <w:spacing w:val="10"/>
          <w:sz w:val="15"/>
          <w:szCs w:val="15"/>
        </w:rPr>
      </w:pPr>
      <w:r>
        <w:rPr>
          <w:rFonts w:hint="eastAsia" w:ascii="宋体" w:hAnsi="宋体"/>
          <w:spacing w:val="10"/>
          <w:sz w:val="15"/>
          <w:szCs w:val="15"/>
        </w:rPr>
        <w:t>（1）理财产品认/申购：参照《投资者权益须知》约定。</w:t>
      </w:r>
    </w:p>
    <w:p>
      <w:pPr>
        <w:spacing w:line="200" w:lineRule="exact"/>
        <w:ind w:firstLine="340" w:firstLineChars="200"/>
        <w:rPr>
          <w:rFonts w:ascii="宋体" w:hAnsi="宋体"/>
          <w:spacing w:val="10"/>
          <w:sz w:val="15"/>
          <w:szCs w:val="15"/>
          <w:highlight w:val="yellow"/>
        </w:rPr>
      </w:pPr>
      <w:r>
        <w:rPr>
          <w:rFonts w:hint="eastAsia" w:ascii="宋体" w:hAnsi="宋体"/>
          <w:spacing w:val="10"/>
          <w:sz w:val="15"/>
          <w:szCs w:val="15"/>
        </w:rPr>
        <w:t>（2）理财产品认/申购撤销申请：乙方在理财产品认购期/募集期/开放期/投资冷静期（私募产品适用）内，可以撤销理财产品相应的认/申购申请。</w:t>
      </w:r>
    </w:p>
    <w:p>
      <w:pPr>
        <w:spacing w:line="200" w:lineRule="exact"/>
        <w:ind w:firstLine="340" w:firstLineChars="200"/>
        <w:rPr>
          <w:szCs w:val="21"/>
        </w:rPr>
      </w:pPr>
      <w:r>
        <w:rPr>
          <w:rFonts w:hint="eastAsia" w:ascii="宋体" w:hAnsi="宋体"/>
          <w:spacing w:val="10"/>
          <w:sz w:val="15"/>
          <w:szCs w:val="15"/>
        </w:rPr>
        <w:t>（</w:t>
      </w:r>
      <w:r>
        <w:rPr>
          <w:rFonts w:ascii="宋体" w:hAnsi="宋体"/>
          <w:spacing w:val="10"/>
          <w:sz w:val="15"/>
          <w:szCs w:val="15"/>
        </w:rPr>
        <w:t>3）理财产品不成立：若在募集期结束日，本理财产品发行规模未能达到对应期次的《理财产品说明书》规定的要求，则本理财产品不成立，甲方将按对应期次的《理财产品说明书》约定条款向乙方进行公告，</w:t>
      </w:r>
      <w:r>
        <w:rPr>
          <w:rFonts w:hint="eastAsia" w:ascii="宋体" w:hAnsi="宋体"/>
          <w:spacing w:val="10"/>
          <w:sz w:val="15"/>
          <w:szCs w:val="15"/>
        </w:rPr>
        <w:t>并将及时解除对乙方授权指定账户中认购资金的冻结。</w:t>
      </w:r>
    </w:p>
    <w:p>
      <w:pPr>
        <w:spacing w:line="200" w:lineRule="exact"/>
        <w:ind w:firstLine="340" w:firstLineChars="200"/>
        <w:rPr>
          <w:rFonts w:ascii="宋体" w:hAnsi="宋体"/>
          <w:spacing w:val="10"/>
          <w:sz w:val="15"/>
          <w:szCs w:val="15"/>
        </w:rPr>
      </w:pPr>
      <w:r>
        <w:rPr>
          <w:rFonts w:hint="eastAsia" w:ascii="宋体" w:hAnsi="宋体"/>
          <w:spacing w:val="10"/>
          <w:sz w:val="15"/>
          <w:szCs w:val="15"/>
        </w:rPr>
        <w:t>（4）理财产品投资品种、投资起点金额、收益支付方式：参照对应期次的《理财产品说明书》中的条款约定。</w:t>
      </w:r>
    </w:p>
    <w:p>
      <w:pPr>
        <w:spacing w:line="200" w:lineRule="exact"/>
        <w:ind w:firstLine="340" w:firstLineChars="200"/>
        <w:rPr>
          <w:rFonts w:ascii="宋体" w:hAnsi="宋体"/>
          <w:spacing w:val="10"/>
          <w:sz w:val="15"/>
          <w:szCs w:val="15"/>
        </w:rPr>
      </w:pPr>
      <w:r>
        <w:rPr>
          <w:rFonts w:hint="eastAsia" w:ascii="宋体" w:hAnsi="宋体"/>
          <w:spacing w:val="10"/>
          <w:sz w:val="15"/>
          <w:szCs w:val="15"/>
        </w:rPr>
        <w:t>（5）理财产品赎回/到期兑付：在正常情况下，甲方将按照对应期次的《理财产品说明书》相关约定，将兑付款项划入乙方授权指定账户。如果发生特殊情形，造成本产品的基础资产无法及时、足额变现，甲方可以根据实际情况选择向乙方提前兑付、延迟兑付或者分次兑付，并及时根据法律法规的要求向乙方披露</w:t>
      </w:r>
      <w:r>
        <w:rPr>
          <w:rFonts w:ascii="宋体" w:hAnsi="宋体"/>
          <w:spacing w:val="10"/>
          <w:sz w:val="15"/>
          <w:szCs w:val="15"/>
        </w:rPr>
        <w:t>兑付方</w:t>
      </w:r>
      <w:r>
        <w:rPr>
          <w:rFonts w:hint="eastAsia" w:ascii="宋体" w:hAnsi="宋体"/>
          <w:spacing w:val="10"/>
          <w:sz w:val="15"/>
          <w:szCs w:val="15"/>
        </w:rPr>
        <w:t>案。</w:t>
      </w:r>
    </w:p>
    <w:p>
      <w:p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5.产品提前终止</w:t>
      </w:r>
    </w:p>
    <w:p>
      <w:p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在理财产品存续期内，如发生以下事项时，银行可对本理财产品行使全部提前终止权（如银行提前终止本理财产品，银行将于该理财产品提前终止日前3个工作日在银行网站（www.njcb.com.cn）上发布提前终止公告）：</w:t>
      </w:r>
    </w:p>
    <w:p>
      <w:p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（1）因本理财产品资产运作模式、投资资产等与法律法规、规章的规定或者监管部门的要求等存在冲突导致理财产品必须提前终止的；</w:t>
      </w:r>
    </w:p>
    <w:p>
      <w:p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（2）国家有关法律、法规、规章、监管规定、政策的改变、紧急措施的出台、理财市场环境发生重大变化等导致理财产品必须提前终止的；</w:t>
      </w:r>
    </w:p>
    <w:p>
      <w:p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（3）因地震、火灾、战争、罢工等不可抗力因素导致本理财产品必须提前终止的；.</w:t>
      </w:r>
    </w:p>
    <w:p>
      <w:p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（4）银行合理认为应该提前终止本理财产品的其他情况。</w:t>
      </w:r>
    </w:p>
    <w:p>
      <w:p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在提前终止的情况项下，银行应于提前终止日后[五个工作日内]将理财产品清算变现并将相应的资金划转至投资者授权指定账户。如提前终止项下，本产品的基础资产无法及时、足额变现，银行可以根据实际情况选择向投资者提前兑付、延迟兑付或者分次兑付，并向投资者进行披露说明。</w:t>
      </w:r>
    </w:p>
    <w:p>
      <w:p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甲方根据相关条款提前终止本理财产品或理财产品到期并兑付完毕后，本协议自动终止。</w:t>
      </w:r>
    </w:p>
    <w:p>
      <w:p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6.</w:t>
      </w:r>
      <w:r>
        <w:rPr>
          <w:rFonts w:ascii="宋体" w:hAnsi="宋体"/>
          <w:b/>
          <w:bCs/>
          <w:spacing w:val="10"/>
          <w:sz w:val="15"/>
          <w:szCs w:val="15"/>
        </w:rPr>
        <w:t>特别提示</w:t>
      </w:r>
    </w:p>
    <w:p>
      <w:p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（1）在本产品存续期内，</w:t>
      </w:r>
      <w:r>
        <w:rPr>
          <w:rFonts w:ascii="宋体" w:hAnsi="宋体"/>
          <w:b/>
          <w:bCs/>
          <w:spacing w:val="10"/>
          <w:sz w:val="15"/>
          <w:szCs w:val="15"/>
        </w:rPr>
        <w:t>如因</w:t>
      </w:r>
      <w:r>
        <w:rPr>
          <w:rFonts w:hint="eastAsia" w:ascii="宋体" w:hAnsi="宋体"/>
          <w:b/>
          <w:bCs/>
          <w:spacing w:val="10"/>
          <w:sz w:val="15"/>
          <w:szCs w:val="15"/>
        </w:rPr>
        <w:t>国家法律法规、监管规定、市场情况等发生变化，或是出于维护本产品正常运营的需要，甲方有权对本产品协议书、《理财产品说明书》、《理财产品风险揭示书》和《投资者权益须知》等相关销售文件进行修订，包括但不限于对理财产品投资范围、投资品种或者投资比例以及收费项目、条件、标准和方式进行调整，并根据销售文件及监管要求等进行信息披露。乙方有权不接受该变更，并可根据信息披露的内容在甲方指定的赎回期限内向甲方申请赎回。乙方未选择赎回本产品，视为已理解并接受修订后的《理财产品销售协议书》、《理财产品说明书》、《理财产品风险揭示书》、《投资者权益须知》等相关销售文件。</w:t>
      </w:r>
    </w:p>
    <w:p>
      <w:p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（2）免责条款</w:t>
      </w:r>
    </w:p>
    <w:p>
      <w:pPr>
        <w:spacing w:line="200" w:lineRule="exact"/>
        <w:ind w:firstLine="341" w:firstLineChars="200"/>
        <w:rPr>
          <w:rFonts w:ascii="宋体" w:hAnsi="宋体"/>
          <w:bCs/>
          <w:spacing w:val="10"/>
          <w:sz w:val="15"/>
          <w:szCs w:val="15"/>
        </w:rPr>
      </w:pPr>
      <w:r>
        <w:rPr>
          <w:rFonts w:hint="eastAsia" w:ascii="宋体" w:hAnsi="宋体"/>
          <w:b/>
          <w:bCs/>
          <w:spacing w:val="10"/>
          <w:sz w:val="15"/>
          <w:szCs w:val="15"/>
        </w:rPr>
        <w:t>（</w:t>
      </w:r>
      <w:r>
        <w:rPr>
          <w:rFonts w:hint="eastAsia" w:ascii="宋体" w:hAnsi="宋体"/>
          <w:spacing w:val="10"/>
          <w:sz w:val="15"/>
          <w:szCs w:val="15"/>
        </w:rPr>
        <w:t>i</w:t>
      </w:r>
      <w:r>
        <w:rPr>
          <w:rFonts w:hint="eastAsia" w:ascii="宋体" w:hAnsi="宋体"/>
          <w:b/>
          <w:bCs/>
          <w:spacing w:val="10"/>
          <w:sz w:val="15"/>
          <w:szCs w:val="15"/>
        </w:rPr>
        <w:t>）不合法。如果因遵守任何适用法律、法规、条例、规则、规定、裁决、命令或指令(不论是现行或将来实施的)而使得甲方履行协议项下的义务全部或部分成为不合法，甲方有权在任何时间向乙方发出通知提前终止受影响的理财产品，在此情况下甲方无需对乙方因提前终止投资而造成的任何损失承担任何责任。</w:t>
      </w:r>
    </w:p>
    <w:p>
      <w:pPr>
        <w:spacing w:line="200" w:lineRule="exact"/>
        <w:ind w:firstLine="341" w:firstLineChars="200"/>
        <w:rPr>
          <w:rStyle w:val="13"/>
          <w:b/>
          <w:bCs/>
        </w:rPr>
      </w:pPr>
      <w:r>
        <w:rPr>
          <w:rFonts w:hint="eastAsia" w:ascii="宋体" w:hAnsi="宋体"/>
          <w:b/>
          <w:bCs/>
          <w:spacing w:val="10"/>
          <w:sz w:val="15"/>
          <w:szCs w:val="15"/>
        </w:rPr>
        <w:t>（ii）不可抗力。如果甲方认为由于自然灾害、罢工、内战、战争、军事行动、任何种类的恐怖活动、暴动、公众示威及／或抗议、法律变化、中国內地或全球金融外汇市场发生致使甲方无法进行货币兑换、划转等的异常变化；任何政府机关或其他机关的行为(不论是在法律上或是在事实上)、法律、法规、条例、规则、规定、裁决、命令或指令(包括国有化或对外限制、外汇管制)、诉讼或威胁；或任何其他非甲方所能控制的情况或原因，导致甲方未能履行或需延迟履行协议项下或与理财产品相关的支付义务，甲方无需对乙方承担任何责任。尤其是，当资金存放在甲方的任何分支机构、任何往来银行或代理人处而他们因上述原因被禁止向甲方付款或履行义务时，甲方亦无需向乙方负责。如果在一个支付日发生不可抗力(不论该不可抗力是否持续整个当日)，与理财产品有关的相关回报或赎回金额(视情形而定)的支付将由甲方按完全自行酌情决定顺延至紧临的下一个不存在不可抗力的</w:t>
      </w:r>
      <w:r>
        <w:rPr>
          <w:rFonts w:hint="eastAsia" w:ascii="宋体" w:hAnsi="宋体"/>
          <w:b/>
          <w:bCs/>
          <w:spacing w:val="10"/>
          <w:sz w:val="15"/>
          <w:szCs w:val="15"/>
          <w:lang w:eastAsia="zh-CN"/>
        </w:rPr>
        <w:t>工作</w:t>
      </w:r>
      <w:r>
        <w:rPr>
          <w:rFonts w:hint="eastAsia" w:ascii="宋体" w:hAnsi="宋体"/>
          <w:b/>
          <w:bCs/>
          <w:spacing w:val="10"/>
          <w:sz w:val="15"/>
          <w:szCs w:val="15"/>
        </w:rPr>
        <w:t>日。乙方将不会因此而收到额外的收益或者补偿。</w:t>
      </w:r>
    </w:p>
    <w:p>
      <w:pPr>
        <w:spacing w:line="200" w:lineRule="exact"/>
        <w:ind w:firstLine="340" w:firstLineChars="200"/>
        <w:rPr>
          <w:rFonts w:ascii="宋体" w:hAnsi="宋体"/>
          <w:spacing w:val="10"/>
          <w:sz w:val="15"/>
          <w:szCs w:val="15"/>
        </w:rPr>
      </w:pPr>
      <w:r>
        <w:rPr>
          <w:rFonts w:hint="eastAsia" w:ascii="宋体" w:hAnsi="宋体"/>
          <w:spacing w:val="10"/>
          <w:sz w:val="15"/>
          <w:szCs w:val="15"/>
        </w:rPr>
        <w:t>（</w:t>
      </w:r>
      <w:r>
        <w:rPr>
          <w:rFonts w:hint="eastAsia" w:ascii="宋体" w:hAnsi="宋体"/>
          <w:b/>
          <w:bCs/>
          <w:spacing w:val="10"/>
          <w:sz w:val="15"/>
          <w:szCs w:val="15"/>
        </w:rPr>
        <w:t>iii</w:t>
      </w:r>
      <w:r>
        <w:rPr>
          <w:rFonts w:hint="eastAsia" w:ascii="宋体" w:hAnsi="宋体"/>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由此造成乙方的任何损失，甲方不承担责任。</w:t>
      </w:r>
    </w:p>
    <w:p>
      <w:pPr>
        <w:spacing w:line="200" w:lineRule="exact"/>
        <w:ind w:firstLine="340" w:firstLineChars="200"/>
        <w:rPr>
          <w:rFonts w:ascii="宋体" w:hAnsi="宋体"/>
          <w:spacing w:val="10"/>
          <w:sz w:val="15"/>
          <w:szCs w:val="15"/>
        </w:rPr>
      </w:pPr>
      <w:r>
        <w:rPr>
          <w:rFonts w:hint="eastAsia" w:ascii="宋体" w:hAnsi="宋体"/>
          <w:spacing w:val="10"/>
          <w:sz w:val="15"/>
          <w:szCs w:val="15"/>
        </w:rPr>
        <w:t>（3）赔偿及责任限制</w:t>
      </w:r>
    </w:p>
    <w:p>
      <w:p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乙方承诺，如果乙方在协议项下作出错误的陈述、保证或者违反任何陈述、保证或其他协议约定而导致甲方发生任何损失、责任、支出或者被提出主张、诉讼或要求，乙方应向甲方作出赔偿。本条所述的赔偿并不排除乙方依据相关法律或协议约定而应承担的任何其他责任。尽管乙方可能给予相反的指示，如果甲方因需遵守适用法律、法规或规则(包括但不限于各种支付体系的规则和规定)或遵守与其他银行、金融机构达成的业务交易协议而导致甲方延迟执行乙方指示或者未能执行乙方指示或使乙方产生任何责任、损失或支出，甲方无需负责。</w:t>
      </w:r>
    </w:p>
    <w:p>
      <w:pPr>
        <w:spacing w:line="200" w:lineRule="exact"/>
        <w:ind w:firstLine="340" w:firstLineChars="200"/>
        <w:rPr>
          <w:rFonts w:ascii="宋体" w:hAnsi="宋体"/>
          <w:spacing w:val="10"/>
          <w:sz w:val="15"/>
          <w:szCs w:val="15"/>
        </w:rPr>
      </w:pPr>
      <w:r>
        <w:rPr>
          <w:rFonts w:hint="eastAsia" w:ascii="宋体" w:hAnsi="宋体"/>
          <w:spacing w:val="10"/>
          <w:sz w:val="15"/>
          <w:szCs w:val="15"/>
        </w:rPr>
        <w:t>（4）抵销</w:t>
      </w:r>
    </w:p>
    <w:p>
      <w:pPr>
        <w:spacing w:line="200" w:lineRule="exact"/>
        <w:ind w:firstLine="340" w:firstLineChars="200"/>
        <w:rPr>
          <w:rFonts w:ascii="宋体" w:hAnsi="宋体"/>
          <w:spacing w:val="10"/>
          <w:sz w:val="15"/>
          <w:szCs w:val="15"/>
        </w:rPr>
      </w:pPr>
      <w:r>
        <w:rPr>
          <w:rFonts w:hint="eastAsia" w:ascii="宋体" w:hAnsi="宋体"/>
          <w:spacing w:val="10"/>
          <w:sz w:val="15"/>
          <w:szCs w:val="15"/>
        </w:rPr>
        <w:t>（i）除享有法律规定的或其他的抵销权利外，甲方有权(但无义务)将乙方欠付甲方的任何债务(不论是否已经到期、无论是否因协议而导致，也不论债务的结算货币、付款地或登记处)与甲方欠付乙方的任何债务(不论是否已经到期、无论是否因协议而导致，也不论债务的结算货币、付款 地或登记处)进行抵销，而无须事先书面通知乙方或任何其他人员；</w:t>
      </w:r>
    </w:p>
    <w:p>
      <w:pPr>
        <w:spacing w:line="200" w:lineRule="exact"/>
        <w:ind w:firstLine="340" w:firstLineChars="200"/>
        <w:rPr>
          <w:rFonts w:ascii="宋体" w:hAnsi="宋体"/>
          <w:spacing w:val="10"/>
          <w:sz w:val="15"/>
          <w:szCs w:val="15"/>
        </w:rPr>
      </w:pPr>
      <w:r>
        <w:rPr>
          <w:rFonts w:hint="eastAsia" w:ascii="宋体" w:hAnsi="宋体"/>
          <w:spacing w:val="10"/>
          <w:sz w:val="15"/>
          <w:szCs w:val="15"/>
        </w:rPr>
        <w:t>（ii）为了对不同货币进行抵销，甲方可在有关日期以甲方所选择适用的市场汇率将任何一方的债务予以兑换。如果债务尚未确定，则甲方可估计该债务的数额后进行抵销，但相关的一方当事人须在该债务得以确定时向另一方支付差额。</w:t>
      </w:r>
    </w:p>
    <w:p>
      <w:pPr>
        <w:spacing w:line="200" w:lineRule="exact"/>
        <w:ind w:firstLine="340" w:firstLineChars="200"/>
        <w:rPr>
          <w:rFonts w:ascii="宋体" w:hAnsi="宋体"/>
          <w:spacing w:val="10"/>
          <w:sz w:val="15"/>
          <w:szCs w:val="15"/>
        </w:rPr>
      </w:pPr>
      <w:r>
        <w:rPr>
          <w:rFonts w:hint="eastAsia" w:ascii="宋体" w:hAnsi="宋体"/>
          <w:spacing w:val="10"/>
          <w:sz w:val="15"/>
          <w:szCs w:val="15"/>
        </w:rPr>
        <w:t>（5）弃权</w:t>
      </w:r>
    </w:p>
    <w:p>
      <w:pPr>
        <w:spacing w:line="200" w:lineRule="exact"/>
        <w:ind w:firstLine="340" w:firstLineChars="200"/>
        <w:rPr>
          <w:rFonts w:ascii="宋体" w:hAnsi="宋体"/>
          <w:spacing w:val="10"/>
          <w:sz w:val="15"/>
          <w:szCs w:val="15"/>
        </w:rPr>
      </w:pPr>
      <w:r>
        <w:rPr>
          <w:rFonts w:hint="eastAsia" w:ascii="宋体" w:hAnsi="宋体"/>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pPr>
        <w:spacing w:line="200" w:lineRule="exact"/>
        <w:ind w:firstLine="340" w:firstLineChars="200"/>
        <w:rPr>
          <w:rFonts w:ascii="宋体" w:hAnsi="宋体"/>
          <w:spacing w:val="10"/>
          <w:sz w:val="15"/>
          <w:szCs w:val="15"/>
        </w:rPr>
      </w:pPr>
      <w:r>
        <w:rPr>
          <w:rFonts w:hint="eastAsia" w:ascii="宋体" w:hAnsi="宋体"/>
          <w:spacing w:val="10"/>
          <w:sz w:val="15"/>
          <w:szCs w:val="15"/>
        </w:rPr>
        <w:t>（6）可分割性</w:t>
      </w:r>
    </w:p>
    <w:p>
      <w:pPr>
        <w:spacing w:line="200" w:lineRule="exact"/>
        <w:ind w:firstLine="340" w:firstLineChars="200"/>
        <w:rPr>
          <w:rFonts w:ascii="宋体" w:hAnsi="宋体"/>
          <w:spacing w:val="10"/>
          <w:sz w:val="15"/>
          <w:szCs w:val="15"/>
        </w:rPr>
      </w:pPr>
      <w:r>
        <w:rPr>
          <w:rFonts w:hint="eastAsia" w:ascii="宋体" w:hAnsi="宋体"/>
          <w:spacing w:val="10"/>
          <w:sz w:val="15"/>
          <w:szCs w:val="15"/>
        </w:rPr>
        <w:t>协议的任何条款在任何方面的非法、无效或不可强制执行，不影响协议的其他条款的合法性、有效性或可强制执行。</w:t>
      </w:r>
    </w:p>
    <w:p>
      <w:pPr>
        <w:spacing w:line="200" w:lineRule="exact"/>
        <w:ind w:firstLine="340" w:firstLineChars="200"/>
        <w:rPr>
          <w:rFonts w:ascii="宋体" w:hAnsi="宋体"/>
          <w:spacing w:val="10"/>
          <w:sz w:val="15"/>
          <w:szCs w:val="15"/>
        </w:rPr>
      </w:pPr>
      <w:r>
        <w:rPr>
          <w:rFonts w:hint="eastAsia" w:ascii="宋体" w:hAnsi="宋体"/>
          <w:spacing w:val="10"/>
          <w:sz w:val="15"/>
          <w:szCs w:val="15"/>
        </w:rPr>
        <w:t>（7）税收条款</w:t>
      </w:r>
    </w:p>
    <w:p>
      <w:pPr>
        <w:spacing w:line="200" w:lineRule="exact"/>
        <w:ind w:firstLine="340" w:firstLineChars="200"/>
        <w:rPr>
          <w:rFonts w:ascii="宋体" w:hAnsi="宋体"/>
          <w:spacing w:val="10"/>
          <w:sz w:val="15"/>
          <w:szCs w:val="15"/>
        </w:rPr>
      </w:pPr>
      <w:r>
        <w:rPr>
          <w:rFonts w:hint="eastAsia" w:ascii="宋体" w:hAnsi="宋体"/>
          <w:spacing w:val="10"/>
          <w:sz w:val="15"/>
          <w:szCs w:val="15"/>
        </w:rPr>
        <w:t>以对应期次的《理财产品说明书》约定的税务处理方式为准，如遇国家政策调整则相应执行最新政策。</w:t>
      </w:r>
    </w:p>
    <w:p>
      <w:pPr>
        <w:spacing w:line="200" w:lineRule="exact"/>
        <w:ind w:firstLine="341" w:firstLineChars="200"/>
        <w:rPr>
          <w:rFonts w:ascii="宋体" w:hAnsi="宋体"/>
          <w:spacing w:val="10"/>
          <w:sz w:val="15"/>
          <w:szCs w:val="15"/>
        </w:rPr>
      </w:pPr>
      <w:r>
        <w:rPr>
          <w:rFonts w:hint="eastAsia" w:ascii="宋体" w:hAnsi="宋体"/>
          <w:b/>
          <w:bCs/>
          <w:spacing w:val="10"/>
          <w:sz w:val="15"/>
          <w:szCs w:val="15"/>
        </w:rPr>
        <w:t>7.</w:t>
      </w:r>
      <w:r>
        <w:rPr>
          <w:rFonts w:ascii="宋体" w:hAnsi="宋体"/>
          <w:b/>
          <w:bCs/>
          <w:spacing w:val="10"/>
          <w:sz w:val="15"/>
          <w:szCs w:val="15"/>
        </w:rPr>
        <w:t>争议处理</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本协议在履行过程中发生争议，可以通过协商解决；协商不成的，任何一方有权向甲方所在地有管辖权的法院提起诉讼。</w:t>
      </w:r>
    </w:p>
    <w:p>
      <w:pPr>
        <w:numPr>
          <w:ilvl w:val="0"/>
          <w:numId w:val="0"/>
        </w:num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8.</w:t>
      </w:r>
      <w:r>
        <w:rPr>
          <w:rFonts w:ascii="宋体" w:hAnsi="宋体"/>
          <w:b/>
          <w:bCs/>
          <w:spacing w:val="10"/>
          <w:sz w:val="15"/>
          <w:szCs w:val="15"/>
        </w:rPr>
        <w:t>协议的生效和终止</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（1）甲乙双方认可本协议可以纸质、电子数据等形式提交、订立或确认。</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（2）本协议书以纸质书面形式订立的，自甲方加盖公章或合同专用章及乙方</w:t>
      </w:r>
      <w:r>
        <w:rPr>
          <w:rFonts w:hint="eastAsia" w:ascii="宋体" w:hAnsi="宋体"/>
          <w:spacing w:val="10"/>
          <w:sz w:val="15"/>
          <w:szCs w:val="15"/>
          <w:lang w:eastAsia="zh-CN"/>
        </w:rPr>
        <w:t>签名</w:t>
      </w:r>
      <w:r>
        <w:rPr>
          <w:rFonts w:hint="eastAsia" w:ascii="宋体" w:hAnsi="宋体"/>
          <w:spacing w:val="10"/>
          <w:sz w:val="15"/>
          <w:szCs w:val="15"/>
        </w:rPr>
        <w:t>后生效。协议一式两份，甲乙双方各执一份，具有同等法律效力。</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3）本协议书以数据电文形式订立的，乙方在甲方提供的电子银行（包括但不限于网上银行、手机银行或监管机构认可的其他销售渠道）点击接受本协议，即表示乙方已阅读本协议所有条款，并对本协议条款的含义及相应的法律后果已全部知晓并充分理解，同意接受本协议约束。本协议自乙方点击确认且甲方通过电子银行提示交易成功之时生效。</w:t>
      </w:r>
      <w:r>
        <w:rPr>
          <w:rFonts w:hint="eastAsia" w:ascii="宋体" w:hAnsi="宋体"/>
          <w:spacing w:val="10"/>
          <w:sz w:val="15"/>
          <w:szCs w:val="15"/>
          <w:lang w:val="en-US" w:eastAsia="zh-CN"/>
        </w:rPr>
        <w:t>交易成功仅指认/申购申请提交成功，认/申购是否成功以甲方另行提供的确认为准。</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甲方电子银行渠道所生成和保留记载的相关电子数据及交易记录以及甲方制作或保留的相关电子及纸质单据、凭证、记录等相关资料,构成有效证明甲乙双方之间权利义务关系的确定证据，乙方无条件认可电子数据的有效性和证据效力。</w:t>
      </w:r>
    </w:p>
    <w:p>
      <w:pPr>
        <w:spacing w:line="200" w:lineRule="exact"/>
        <w:ind w:firstLine="340" w:firstLineChars="200"/>
        <w:rPr>
          <w:rFonts w:ascii="宋体" w:hAnsi="宋体"/>
          <w:b/>
          <w:bCs/>
          <w:spacing w:val="10"/>
          <w:sz w:val="15"/>
          <w:szCs w:val="15"/>
        </w:rPr>
      </w:pPr>
      <w:r>
        <w:rPr>
          <w:rFonts w:hint="eastAsia" w:ascii="宋体" w:hAnsi="宋体"/>
          <w:spacing w:val="10"/>
          <w:sz w:val="15"/>
          <w:szCs w:val="15"/>
        </w:rPr>
        <w:t xml:space="preserve">（4）甲乙双方在本协议及对应期次的《理财产品说明书》项下权利义务履行完毕之日，本协议自动终止。 </w:t>
      </w:r>
    </w:p>
    <w:p>
      <w:p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9.</w:t>
      </w:r>
      <w:r>
        <w:rPr>
          <w:rFonts w:ascii="宋体" w:hAnsi="宋体"/>
          <w:b/>
          <w:bCs/>
          <w:spacing w:val="10"/>
          <w:sz w:val="15"/>
          <w:szCs w:val="15"/>
        </w:rPr>
        <w:t>乙方声明</w:t>
      </w:r>
    </w:p>
    <w:p>
      <w:pPr>
        <w:spacing w:line="200" w:lineRule="exact"/>
        <w:ind w:firstLine="341" w:firstLineChars="200"/>
        <w:rPr>
          <w:rFonts w:ascii="宋体" w:hAnsi="宋体"/>
          <w:b/>
          <w:spacing w:val="10"/>
          <w:sz w:val="15"/>
          <w:szCs w:val="15"/>
        </w:rPr>
      </w:pPr>
      <w:r>
        <w:rPr>
          <w:rFonts w:hint="eastAsia" w:ascii="宋体" w:hAnsi="宋体"/>
          <w:b/>
          <w:spacing w:val="10"/>
          <w:sz w:val="15"/>
          <w:szCs w:val="15"/>
        </w:rPr>
        <w:t>在签署本产品协议书以前，甲方已根据本产品协议书等理财产品销售文件的条款就乙方提出的疑问向乙方进行了详细的说明和解释</w:t>
      </w:r>
      <w:r>
        <w:rPr>
          <w:rFonts w:ascii="宋体" w:hAnsi="宋体"/>
          <w:b/>
          <w:spacing w:val="10"/>
          <w:sz w:val="15"/>
          <w:szCs w:val="15"/>
        </w:rPr>
        <w:t>，乙方已认真阅读本产品协议条款及</w:t>
      </w:r>
      <w:r>
        <w:rPr>
          <w:rFonts w:hint="eastAsia" w:ascii="宋体" w:hAnsi="宋体"/>
          <w:b/>
          <w:spacing w:val="10"/>
          <w:sz w:val="15"/>
          <w:szCs w:val="15"/>
        </w:rPr>
        <w:t>对应期次的《理财</w:t>
      </w:r>
      <w:r>
        <w:rPr>
          <w:rFonts w:ascii="宋体" w:hAnsi="宋体"/>
          <w:b/>
          <w:spacing w:val="10"/>
          <w:sz w:val="15"/>
          <w:szCs w:val="15"/>
        </w:rPr>
        <w:t>产品说明书</w:t>
      </w:r>
      <w:r>
        <w:rPr>
          <w:rFonts w:hint="eastAsia" w:ascii="宋体" w:hAnsi="宋体"/>
          <w:b/>
          <w:spacing w:val="10"/>
          <w:sz w:val="15"/>
          <w:szCs w:val="15"/>
        </w:rPr>
        <w:t>》</w:t>
      </w:r>
      <w:r>
        <w:rPr>
          <w:rFonts w:ascii="宋体" w:hAnsi="宋体"/>
          <w:b/>
          <w:spacing w:val="10"/>
          <w:sz w:val="15"/>
          <w:szCs w:val="15"/>
        </w:rPr>
        <w:t>和</w:t>
      </w:r>
      <w:r>
        <w:rPr>
          <w:rFonts w:hint="eastAsia" w:ascii="宋体" w:hAnsi="宋体"/>
          <w:b/>
          <w:spacing w:val="10"/>
          <w:sz w:val="15"/>
          <w:szCs w:val="15"/>
        </w:rPr>
        <w:t>《理财产品风险揭示书》、</w:t>
      </w:r>
      <w:r>
        <w:rPr>
          <w:rFonts w:hint="eastAsia" w:ascii="宋体" w:hAnsi="宋体"/>
          <w:b/>
          <w:bCs/>
          <w:spacing w:val="10"/>
          <w:sz w:val="15"/>
          <w:szCs w:val="15"/>
        </w:rPr>
        <w:t>《投资者权益须知》</w:t>
      </w:r>
      <w:r>
        <w:rPr>
          <w:rFonts w:ascii="宋体" w:hAnsi="宋体"/>
          <w:b/>
          <w:spacing w:val="10"/>
          <w:sz w:val="15"/>
          <w:szCs w:val="15"/>
        </w:rPr>
        <w:t>，</w:t>
      </w:r>
      <w:r>
        <w:rPr>
          <w:rFonts w:hint="eastAsia" w:ascii="宋体" w:hAnsi="宋体"/>
          <w:b/>
          <w:spacing w:val="10"/>
          <w:sz w:val="15"/>
          <w:szCs w:val="15"/>
        </w:rPr>
        <w:t>明确本理财产品委托代理性质，愿意承担投资风险</w:t>
      </w:r>
      <w:r>
        <w:rPr>
          <w:rFonts w:ascii="宋体" w:hAnsi="宋体"/>
          <w:b/>
          <w:spacing w:val="10"/>
          <w:sz w:val="15"/>
          <w:szCs w:val="15"/>
        </w:rPr>
        <w:t>，并对协议双方的权利、义务、责任与风险有清楚和准确的</w:t>
      </w:r>
      <w:r>
        <w:rPr>
          <w:rFonts w:hint="eastAsia" w:ascii="宋体" w:hAnsi="宋体"/>
          <w:b/>
          <w:spacing w:val="10"/>
          <w:sz w:val="15"/>
          <w:szCs w:val="15"/>
        </w:rPr>
        <w:t>认知且</w:t>
      </w:r>
      <w:r>
        <w:rPr>
          <w:rFonts w:ascii="宋体" w:hAnsi="宋体"/>
          <w:b/>
          <w:spacing w:val="10"/>
          <w:sz w:val="15"/>
          <w:szCs w:val="15"/>
        </w:rPr>
        <w:t>对有关条款不存在任何疑问或异议。</w:t>
      </w:r>
      <w:r>
        <w:rPr>
          <w:rFonts w:hint="eastAsia" w:ascii="宋体" w:hAnsi="宋体"/>
          <w:b/>
          <w:spacing w:val="10"/>
          <w:sz w:val="15"/>
          <w:szCs w:val="15"/>
        </w:rPr>
        <w:t>乙方充分认识到投资本期理财产品可能面临的风险，并自愿承担相关风险，特此确认。</w:t>
      </w:r>
    </w:p>
    <w:p>
      <w:pPr>
        <w:spacing w:line="200" w:lineRule="exact"/>
        <w:ind w:firstLine="341" w:firstLineChars="200"/>
        <w:rPr>
          <w:rFonts w:ascii="宋体" w:hAnsi="宋体"/>
          <w:b/>
          <w:spacing w:val="10"/>
          <w:sz w:val="15"/>
          <w:szCs w:val="15"/>
        </w:rPr>
      </w:pPr>
      <w:r>
        <w:rPr>
          <w:rFonts w:hint="eastAsia" w:ascii="宋体" w:hAnsi="宋体"/>
          <w:b/>
          <w:spacing w:val="10"/>
          <w:sz w:val="15"/>
          <w:szCs w:val="15"/>
        </w:rPr>
        <w:t>乙方授权甲方于认购期/募集期/开放期/投资冷静期（私募产品适用）结束后从乙方授权指定账户扣划相应的认/申购资金。</w:t>
      </w:r>
    </w:p>
    <w:p>
      <w:pPr>
        <w:spacing w:line="200" w:lineRule="exact"/>
        <w:ind w:firstLine="340" w:firstLineChars="200"/>
      </w:pPr>
      <w:r>
        <w:rPr>
          <w:rFonts w:hint="eastAsia" w:ascii="宋体" w:hAnsi="宋体"/>
          <w:spacing w:val="10"/>
          <w:sz w:val="15"/>
          <w:szCs w:val="15"/>
        </w:rPr>
        <w:t>10</w:t>
      </w:r>
      <w:r>
        <w:rPr>
          <w:rFonts w:ascii="宋体" w:hAnsi="宋体"/>
          <w:spacing w:val="10"/>
          <w:sz w:val="15"/>
          <w:szCs w:val="15"/>
        </w:rPr>
        <w:t>.本协议</w:t>
      </w:r>
      <w:r>
        <w:rPr>
          <w:rFonts w:hint="eastAsia" w:ascii="宋体" w:hAnsi="宋体"/>
          <w:spacing w:val="10"/>
          <w:sz w:val="15"/>
          <w:szCs w:val="15"/>
        </w:rPr>
        <w:t>为理财</w:t>
      </w:r>
      <w:r>
        <w:rPr>
          <w:rFonts w:ascii="宋体" w:hAnsi="宋体"/>
          <w:spacing w:val="10"/>
          <w:sz w:val="15"/>
          <w:szCs w:val="15"/>
        </w:rPr>
        <w:t>产品</w:t>
      </w:r>
      <w:r>
        <w:rPr>
          <w:rFonts w:hint="eastAsia" w:ascii="宋体" w:hAnsi="宋体"/>
          <w:spacing w:val="10"/>
          <w:sz w:val="15"/>
          <w:szCs w:val="15"/>
        </w:rPr>
        <w:t>销售文件不可分割之组成部分，</w:t>
      </w:r>
      <w:r>
        <w:rPr>
          <w:rFonts w:ascii="宋体" w:hAnsi="宋体"/>
          <w:spacing w:val="10"/>
          <w:sz w:val="15"/>
          <w:szCs w:val="15"/>
        </w:rPr>
        <w:t>乙方签署本协议</w:t>
      </w:r>
      <w:r>
        <w:rPr>
          <w:rFonts w:hint="eastAsia" w:ascii="宋体" w:hAnsi="宋体"/>
          <w:spacing w:val="10"/>
          <w:sz w:val="15"/>
          <w:szCs w:val="15"/>
        </w:rPr>
        <w:t>视为同时同意并确认了对应期次的《理财产品说明书》、《理财产品风险揭示书》及《投资者权益须知》等理财产品销售文件的相关条款，无需再对前述理财产品销售文件进行签署。</w:t>
      </w:r>
    </w:p>
    <w:p/>
    <w:p>
      <w:pPr>
        <w:bidi w:val="0"/>
        <w:rPr>
          <w:rFonts w:ascii="Calibri" w:hAnsi="Calibri" w:eastAsia="宋体" w:cs="Times New Roman"/>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756"/>
        </w:tabs>
        <w:bidi w:val="0"/>
        <w:jc w:val="left"/>
        <w:rPr>
          <w:rFonts w:hint="eastAsia"/>
          <w:lang w:val="en-US" w:eastAsia="zh-CN"/>
        </w:rPr>
      </w:pPr>
      <w:r>
        <w:rPr>
          <w:rFonts w:hint="eastAsia"/>
          <w:lang w:val="en-US" w:eastAsia="zh-CN"/>
        </w:rPr>
        <w:tab/>
      </w: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hint="eastAsia" w:ascii="黑体" w:hAnsi="宋体" w:eastAsia="黑体"/>
          <w:b/>
          <w:bCs/>
          <w:sz w:val="36"/>
          <w:szCs w:val="36"/>
        </w:rPr>
      </w:pPr>
      <w:r>
        <w:rPr>
          <w:rFonts w:hint="eastAsia" w:ascii="黑体" w:hAnsi="宋体" w:eastAsia="黑体"/>
          <w:b/>
          <w:bCs/>
          <w:sz w:val="36"/>
          <w:szCs w:val="36"/>
        </w:rPr>
        <w:t>南京银行理财产品销售协议书</w:t>
      </w:r>
    </w:p>
    <w:p>
      <w:pPr>
        <w:pStyle w:val="2"/>
        <w:rPr>
          <w:rFonts w:asciiTheme="minorHAnsi" w:hAnsiTheme="minorHAnsi" w:eastAsiaTheme="minorEastAsia"/>
          <w:b w:val="0"/>
          <w:bCs w:val="0"/>
          <w:sz w:val="21"/>
          <w:szCs w:val="22"/>
        </w:rPr>
      </w:pPr>
    </w:p>
    <w:p>
      <w:pPr>
        <w:tabs>
          <w:tab w:val="left" w:pos="0"/>
        </w:tabs>
        <w:spacing w:beforeLines="0" w:afterLines="0" w:line="280" w:lineRule="exact"/>
        <w:jc w:val="center"/>
        <w:rPr>
          <w:rFonts w:hint="eastAsia" w:asciiTheme="minorEastAsia" w:hAnsiTheme="minorEastAsia" w:cstheme="minorEastAsia"/>
          <w:szCs w:val="21"/>
        </w:rPr>
      </w:pPr>
      <w:r>
        <w:rPr>
          <w:rFonts w:hint="eastAsia" w:asciiTheme="minorEastAsia" w:hAnsiTheme="minorEastAsia" w:cstheme="minorEastAsia"/>
          <w:szCs w:val="21"/>
        </w:rPr>
        <w:t>（非金融机构版）</w:t>
      </w:r>
    </w:p>
    <w:p>
      <w:pPr>
        <w:tabs>
          <w:tab w:val="left" w:pos="0"/>
        </w:tabs>
        <w:spacing w:beforeLines="0" w:afterLines="0" w:line="280" w:lineRule="exact"/>
        <w:jc w:val="center"/>
        <w:rPr>
          <w:rFonts w:hint="eastAsia" w:asciiTheme="minorEastAsia" w:hAnsiTheme="minorEastAsia" w:cstheme="minorEastAsia"/>
          <w:szCs w:val="21"/>
        </w:rPr>
      </w:pPr>
    </w:p>
    <w:p>
      <w:pPr>
        <w:tabs>
          <w:tab w:val="left" w:pos="0"/>
        </w:tabs>
        <w:spacing w:beforeLines="0" w:afterLines="0" w:line="280" w:lineRule="exact"/>
        <w:jc w:val="center"/>
        <w:rPr>
          <w:rFonts w:hint="eastAsia" w:asciiTheme="minorEastAsia" w:hAnsiTheme="minorEastAsia" w:cstheme="minorEastAsia"/>
          <w:szCs w:val="21"/>
        </w:rPr>
      </w:pPr>
    </w:p>
    <w:p>
      <w:pPr>
        <w:tabs>
          <w:tab w:val="left" w:pos="0"/>
        </w:tabs>
        <w:spacing w:beforeLines="0" w:afterLines="0" w:line="280" w:lineRule="exact"/>
        <w:jc w:val="center"/>
        <w:rPr>
          <w:rFonts w:hint="eastAsia" w:asciiTheme="minorEastAsia" w:hAnsiTheme="minorEastAsia" w:cstheme="minorEastAsia"/>
          <w:szCs w:val="21"/>
        </w:rPr>
      </w:pPr>
    </w:p>
    <w:p>
      <w:pPr>
        <w:tabs>
          <w:tab w:val="left" w:pos="0"/>
        </w:tabs>
        <w:spacing w:beforeLines="0" w:afterLines="0" w:line="280" w:lineRule="exact"/>
        <w:jc w:val="center"/>
        <w:rPr>
          <w:rFonts w:hint="eastAsia" w:asciiTheme="minorEastAsia" w:hAnsiTheme="minorEastAsia" w:cstheme="minorEastAsia"/>
          <w:szCs w:val="21"/>
        </w:rPr>
      </w:pPr>
    </w:p>
    <w:p>
      <w:pPr>
        <w:tabs>
          <w:tab w:val="left" w:pos="0"/>
        </w:tabs>
        <w:spacing w:beforeLines="0" w:afterLines="0" w:line="280" w:lineRule="exact"/>
        <w:jc w:val="center"/>
        <w:rPr>
          <w:rFonts w:hint="eastAsia" w:asciiTheme="minorEastAsia" w:hAnsiTheme="minorEastAsia" w:cstheme="minorEastAsia"/>
          <w:szCs w:val="21"/>
        </w:rPr>
      </w:pPr>
    </w:p>
    <w:p>
      <w:pPr>
        <w:tabs>
          <w:tab w:val="left" w:pos="0"/>
        </w:tabs>
        <w:spacing w:beforeLines="0" w:afterLines="0" w:line="280" w:lineRule="exact"/>
        <w:jc w:val="center"/>
        <w:rPr>
          <w:rFonts w:hint="eastAsia" w:asciiTheme="minorEastAsia" w:hAnsiTheme="minorEastAsia" w:cstheme="minorEastAsia"/>
          <w:szCs w:val="21"/>
        </w:rPr>
      </w:pPr>
    </w:p>
    <w:p>
      <w:pPr>
        <w:tabs>
          <w:tab w:val="left" w:pos="0"/>
        </w:tabs>
        <w:spacing w:beforeLines="0" w:afterLines="0" w:line="280" w:lineRule="exact"/>
        <w:jc w:val="center"/>
        <w:rPr>
          <w:rFonts w:hint="eastAsia" w:asciiTheme="minorEastAsia" w:hAnsiTheme="minorEastAsia" w:cstheme="minorEastAsia"/>
          <w:szCs w:val="21"/>
        </w:rPr>
      </w:pPr>
    </w:p>
    <w:p>
      <w:pPr>
        <w:tabs>
          <w:tab w:val="left" w:pos="0"/>
        </w:tabs>
        <w:spacing w:beforeLines="0" w:afterLines="0" w:line="280" w:lineRule="exact"/>
        <w:jc w:val="center"/>
        <w:rPr>
          <w:rFonts w:hint="eastAsia" w:asciiTheme="minorEastAsia" w:hAnsiTheme="minorEastAsia" w:cstheme="minorEastAsia"/>
          <w:szCs w:val="21"/>
        </w:rPr>
      </w:pPr>
      <w:r>
        <w:rPr>
          <w:rFonts w:hint="eastAsia" w:asciiTheme="minorEastAsia" w:hAnsiTheme="minorEastAsia" w:cstheme="minorEastAsia"/>
          <w:szCs w:val="21"/>
        </w:rPr>
        <w:t>编制单位：</w:t>
      </w:r>
      <w:r>
        <w:rPr>
          <w:rFonts w:hint="eastAsia" w:asciiTheme="minorEastAsia" w:hAnsiTheme="minorEastAsia" w:cstheme="minorEastAsia"/>
          <w:szCs w:val="21"/>
          <w:u w:val="single"/>
        </w:rPr>
        <w:t xml:space="preserve"> 南京银行股份有限公司</w:t>
      </w:r>
    </w:p>
    <w:p>
      <w:pPr>
        <w:spacing w:beforeLines="0" w:afterLines="0" w:line="280" w:lineRule="exact"/>
        <w:jc w:val="center"/>
        <w:rPr>
          <w:rFonts w:hint="eastAsia" w:asciiTheme="minorEastAsia" w:hAnsiTheme="minorEastAsia" w:cstheme="minorEastAsia"/>
          <w:szCs w:val="21"/>
        </w:rPr>
      </w:pPr>
      <w:r>
        <w:rPr>
          <w:rFonts w:hint="eastAsia" w:asciiTheme="minorEastAsia" w:hAnsiTheme="minorEastAsia" w:cstheme="minorEastAsia"/>
          <w:szCs w:val="21"/>
        </w:rPr>
        <w:br w:type="page"/>
      </w:r>
    </w:p>
    <w:p>
      <w:pPr>
        <w:spacing w:beforeLines="0" w:afterLines="0" w:line="280" w:lineRule="exact"/>
        <w:jc w:val="left"/>
        <w:rPr>
          <w:rFonts w:hint="eastAsia" w:asciiTheme="minorEastAsia" w:hAnsiTheme="minorEastAsia" w:eastAsiaTheme="minorEastAsia" w:cstheme="minorEastAsia"/>
          <w:kern w:val="2"/>
          <w:sz w:val="21"/>
          <w:szCs w:val="21"/>
          <w:lang w:val="en-US" w:eastAsia="zh-CN" w:bidi="ar-SA"/>
        </w:rPr>
      </w:pPr>
    </w:p>
    <w:p>
      <w:pPr>
        <w:numPr>
          <w:ilvl w:val="0"/>
          <w:numId w:val="0"/>
        </w:numPr>
        <w:tabs>
          <w:tab w:val="left" w:pos="142"/>
          <w:tab w:val="left" w:pos="2580"/>
        </w:tabs>
        <w:spacing w:after="0" w:line="240" w:lineRule="auto"/>
        <w:ind w:left="0" w:firstLine="0" w:firstLineChars="0"/>
        <w:jc w:val="center"/>
        <w:rPr>
          <w:rFonts w:hint="eastAsia" w:ascii="黑体" w:hAnsi="黑体" w:eastAsia="黑体" w:cs="黑体"/>
          <w:sz w:val="36"/>
          <w:szCs w:val="36"/>
          <w:highlight w:val="none"/>
          <w:lang w:eastAsia="zh-CN"/>
        </w:rPr>
      </w:pPr>
      <w:r>
        <w:rPr>
          <w:rFonts w:hint="eastAsia" w:ascii="黑体" w:hAnsi="黑体" w:eastAsia="黑体" w:cs="黑体"/>
          <w:sz w:val="36"/>
          <w:szCs w:val="36"/>
          <w:highlight w:val="none"/>
          <w:lang w:eastAsia="zh-CN"/>
        </w:rPr>
        <w:t>投资者权益须知</w:t>
      </w:r>
    </w:p>
    <w:p>
      <w:pPr>
        <w:numPr>
          <w:ilvl w:val="255"/>
          <w:numId w:val="0"/>
        </w:numPr>
        <w:spacing w:beforeLines="0" w:afterLines="0" w:line="280" w:lineRule="exact"/>
        <w:rPr>
          <w:rFonts w:hint="eastAsia" w:asciiTheme="minorEastAsia" w:hAnsiTheme="minorEastAsia" w:eastAsiaTheme="minorEastAsia" w:cstheme="minorEastAsia"/>
          <w:b/>
          <w:bCs/>
          <w:sz w:val="21"/>
          <w:szCs w:val="21"/>
        </w:rPr>
      </w:pPr>
    </w:p>
    <w:p>
      <w:pPr>
        <w:spacing w:beforeLines="0" w:afterLines="0" w:line="280" w:lineRule="exact"/>
        <w:ind w:firstLine="422" w:firstLineChars="200"/>
        <w:jc w:val="center"/>
        <w:rPr>
          <w:rFonts w:hint="eastAsia" w:asciiTheme="minorEastAsia" w:hAnsiTheme="minorEastAsia" w:cstheme="minorEastAsia"/>
          <w:b/>
          <w:i/>
          <w:sz w:val="21"/>
          <w:szCs w:val="21"/>
          <w:u w:val="single"/>
        </w:rPr>
      </w:pPr>
      <w:r>
        <w:rPr>
          <w:rFonts w:hint="eastAsia" w:asciiTheme="minorEastAsia" w:hAnsiTheme="minorEastAsia" w:cstheme="minorEastAsia"/>
          <w:b/>
          <w:i/>
          <w:sz w:val="21"/>
          <w:szCs w:val="21"/>
          <w:u w:val="single"/>
        </w:rPr>
        <w:t>“理财非存款、产品有风险、理财产品过往业绩不代表其未来表现，不等于理财产品实际收益，投资须谨慎”！</w:t>
      </w:r>
    </w:p>
    <w:p>
      <w:pPr>
        <w:pStyle w:val="8"/>
        <w:spacing w:before="0" w:beforeLines="0" w:after="0" w:afterLines="0" w:line="280" w:lineRule="exact"/>
        <w:ind w:firstLine="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尊敬的投资者：</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理财产品在投资并获取收益的同时也存在投资风险。为了保护投资者（包含个人投资者及机构投资者，统称为“投资者”）的合法权益，请在投资理财产品前认真阅读以下内容：</w:t>
      </w:r>
    </w:p>
    <w:p>
      <w:pPr>
        <w:pStyle w:val="8"/>
        <w:numPr>
          <w:ilvl w:val="0"/>
          <w:numId w:val="2"/>
        </w:numPr>
        <w:spacing w:before="0" w:beforeLines="0" w:after="0" w:afterLines="0" w:line="280" w:lineRule="exact"/>
        <w:rPr>
          <w:rFonts w:hint="eastAsia" w:asciiTheme="minorEastAsia" w:hAnsiTheme="minorEastAsia" w:eastAsiaTheme="minorEastAsia" w:cstheme="minorEastAsia"/>
          <w:b/>
          <w:color w:val="auto"/>
          <w:spacing w:val="10"/>
          <w:kern w:val="2"/>
          <w:sz w:val="21"/>
          <w:szCs w:val="21"/>
        </w:rPr>
      </w:pPr>
      <w:r>
        <w:rPr>
          <w:rFonts w:hint="eastAsia" w:asciiTheme="minorEastAsia" w:hAnsiTheme="minorEastAsia" w:eastAsiaTheme="minorEastAsia" w:cstheme="minorEastAsia"/>
          <w:b/>
          <w:color w:val="auto"/>
          <w:spacing w:val="10"/>
          <w:kern w:val="2"/>
          <w:sz w:val="21"/>
          <w:szCs w:val="21"/>
        </w:rPr>
        <w:t>理财产品购买和服务流程说明</w:t>
      </w:r>
    </w:p>
    <w:p>
      <w:pPr>
        <w:pStyle w:val="8"/>
        <w:spacing w:before="0" w:beforeLines="0" w:after="0" w:afterLines="0" w:line="280" w:lineRule="exact"/>
        <w:ind w:firstLine="462" w:firstLineChars="200"/>
        <w:rPr>
          <w:rFonts w:hint="eastAsia" w:asciiTheme="minorEastAsia" w:hAnsiTheme="minorEastAsia" w:eastAsiaTheme="minorEastAsia" w:cstheme="minorEastAsia"/>
          <w:b/>
          <w:spacing w:val="10"/>
          <w:kern w:val="2"/>
          <w:sz w:val="21"/>
          <w:szCs w:val="21"/>
        </w:rPr>
      </w:pPr>
      <w:r>
        <w:rPr>
          <w:rFonts w:hint="eastAsia" w:asciiTheme="minorEastAsia" w:hAnsiTheme="minorEastAsia" w:eastAsiaTheme="minorEastAsia" w:cstheme="minorEastAsia"/>
          <w:b/>
          <w:spacing w:val="10"/>
          <w:kern w:val="2"/>
          <w:sz w:val="21"/>
          <w:szCs w:val="21"/>
        </w:rPr>
        <w:t>（一）阅读理财产品销售文件</w:t>
      </w:r>
    </w:p>
    <w:p>
      <w:pPr>
        <w:pStyle w:val="8"/>
        <w:spacing w:before="0" w:beforeLines="0" w:after="0" w:afterLines="0" w:line="280" w:lineRule="exact"/>
        <w:ind w:firstLine="460" w:firstLineChars="200"/>
        <w:rPr>
          <w:rFonts w:hint="eastAsia" w:asciiTheme="minorEastAsia" w:hAnsiTheme="minorEastAsia" w:eastAsiaTheme="minorEastAsia" w:cstheme="minorEastAsia"/>
          <w:spacing w:val="10"/>
          <w:kern w:val="2"/>
          <w:sz w:val="21"/>
          <w:szCs w:val="21"/>
        </w:rPr>
      </w:pPr>
      <w:r>
        <w:rPr>
          <w:rFonts w:hint="eastAsia" w:asciiTheme="minorEastAsia" w:hAnsiTheme="minorEastAsia" w:eastAsiaTheme="minorEastAsia" w:cstheme="minorEastAsia"/>
          <w:spacing w:val="10"/>
          <w:kern w:val="2"/>
          <w:sz w:val="21"/>
          <w:szCs w:val="21"/>
        </w:rPr>
        <w:t>投资者应仔细阅读拟购买理财产品销售文件（以下简称“销售文件”），包括但不限于：《理财产品销售协议书》、《理财产品说明书》、《理财产品风险揭示书》、《投资者权益须知》等。投资者可以向南京银行（以下简称“银行”）理财服务人员咨询理财产品风险等级、期限、投资范围、销售文件相关细节、疑问等，银行理财服务人员给予解答。</w:t>
      </w:r>
    </w:p>
    <w:p>
      <w:pPr>
        <w:pStyle w:val="8"/>
        <w:spacing w:before="0" w:beforeLines="0" w:after="0" w:afterLines="0" w:line="280" w:lineRule="exact"/>
        <w:ind w:firstLine="462" w:firstLineChars="200"/>
        <w:rPr>
          <w:rFonts w:hint="eastAsia" w:asciiTheme="minorEastAsia" w:hAnsiTheme="minorEastAsia" w:eastAsiaTheme="minorEastAsia" w:cstheme="minorEastAsia"/>
          <w:b/>
          <w:spacing w:val="10"/>
          <w:kern w:val="2"/>
          <w:sz w:val="21"/>
          <w:szCs w:val="21"/>
        </w:rPr>
      </w:pPr>
      <w:r>
        <w:rPr>
          <w:rFonts w:hint="eastAsia" w:asciiTheme="minorEastAsia" w:hAnsiTheme="minorEastAsia" w:eastAsiaTheme="minorEastAsia" w:cstheme="minorEastAsia"/>
          <w:b/>
          <w:spacing w:val="10"/>
          <w:kern w:val="2"/>
          <w:sz w:val="21"/>
          <w:szCs w:val="21"/>
        </w:rPr>
        <w:t>（二）风险承受能力及理财签约</w:t>
      </w:r>
    </w:p>
    <w:p>
      <w:pPr>
        <w:pStyle w:val="8"/>
        <w:spacing w:before="0" w:beforeLines="0" w:after="0" w:afterLines="0" w:line="280" w:lineRule="exact"/>
        <w:ind w:firstLine="460" w:firstLineChars="200"/>
        <w:rPr>
          <w:rFonts w:hint="eastAsia" w:asciiTheme="minorEastAsia" w:hAnsiTheme="minorEastAsia" w:eastAsiaTheme="minorEastAsia" w:cstheme="minorEastAsia"/>
          <w:spacing w:val="10"/>
          <w:kern w:val="2"/>
          <w:sz w:val="21"/>
          <w:szCs w:val="21"/>
        </w:rPr>
      </w:pPr>
      <w:r>
        <w:rPr>
          <w:rFonts w:hint="eastAsia" w:asciiTheme="minorEastAsia" w:hAnsiTheme="minorEastAsia" w:eastAsiaTheme="minorEastAsia" w:cstheme="minorEastAsia"/>
          <w:spacing w:val="10"/>
          <w:kern w:val="2"/>
          <w:sz w:val="21"/>
          <w:szCs w:val="21"/>
        </w:rPr>
        <w:t>●机构投资者适用</w:t>
      </w:r>
    </w:p>
    <w:p>
      <w:pPr>
        <w:pStyle w:val="8"/>
        <w:spacing w:before="0" w:beforeLines="0" w:after="0" w:afterLines="0" w:line="280" w:lineRule="exact"/>
        <w:ind w:firstLine="460" w:firstLineChars="200"/>
        <w:rPr>
          <w:rFonts w:hint="eastAsia" w:asciiTheme="minorEastAsia" w:hAnsiTheme="minorEastAsia" w:eastAsiaTheme="minorEastAsia" w:cstheme="minorEastAsia"/>
          <w:spacing w:val="10"/>
          <w:kern w:val="2"/>
          <w:sz w:val="21"/>
          <w:szCs w:val="21"/>
        </w:rPr>
      </w:pPr>
      <w:r>
        <w:rPr>
          <w:rFonts w:hint="eastAsia" w:asciiTheme="minorEastAsia" w:hAnsiTheme="minorEastAsia" w:eastAsiaTheme="minorEastAsia" w:cstheme="minorEastAsia"/>
          <w:spacing w:val="10"/>
          <w:kern w:val="2"/>
          <w:sz w:val="21"/>
          <w:szCs w:val="21"/>
        </w:rPr>
        <w:t>投资者向银行申请购买理财产品前须开立银行账户，通过理财签约交易开通理财账户。若选择线上签约，投资者在银行电子渠道理财签约界面点击确认按钮后即视为签约完毕；若选择线下签约，投资者需提供：三证合一后的营业执照、开户许可证、开户单位为分支机构的，还应提交法人授权、民政部门或其他主管部门颁发的注册登记证书，法定代表人身份证、授权经办人办理理财业务的授权委托书、被授权人的身份证、依照监管部门规定，银行要求投资者提供的其他材料，签署《理财业务开户/认购产品申请书》后视为确认签约完毕。</w:t>
      </w:r>
    </w:p>
    <w:p>
      <w:pPr>
        <w:pStyle w:val="8"/>
        <w:spacing w:before="0" w:beforeLines="0" w:after="0" w:afterLines="0" w:line="280" w:lineRule="exact"/>
        <w:ind w:firstLine="460" w:firstLineChars="200"/>
        <w:rPr>
          <w:rFonts w:hint="eastAsia" w:asciiTheme="minorEastAsia" w:hAnsiTheme="minorEastAsia" w:eastAsiaTheme="minorEastAsia" w:cstheme="minorEastAsia"/>
          <w:spacing w:val="10"/>
          <w:kern w:val="2"/>
          <w:sz w:val="21"/>
          <w:szCs w:val="21"/>
        </w:rPr>
      </w:pPr>
      <w:r>
        <w:rPr>
          <w:rFonts w:hint="eastAsia" w:asciiTheme="minorEastAsia" w:hAnsiTheme="minorEastAsia" w:eastAsiaTheme="minorEastAsia" w:cstheme="minorEastAsia"/>
          <w:spacing w:val="10"/>
          <w:kern w:val="2"/>
          <w:sz w:val="21"/>
          <w:szCs w:val="21"/>
        </w:rPr>
        <w:t>●个人投资者适用</w:t>
      </w:r>
    </w:p>
    <w:p>
      <w:pPr>
        <w:pStyle w:val="8"/>
        <w:spacing w:before="0" w:beforeLines="0" w:after="0" w:afterLines="0" w:line="280" w:lineRule="exact"/>
        <w:ind w:firstLine="460" w:firstLineChars="200"/>
        <w:rPr>
          <w:rFonts w:hint="eastAsia" w:asciiTheme="minorEastAsia" w:hAnsiTheme="minorEastAsia" w:eastAsiaTheme="minorEastAsia" w:cstheme="minorEastAsia"/>
          <w:spacing w:val="10"/>
          <w:kern w:val="2"/>
          <w:sz w:val="21"/>
          <w:szCs w:val="21"/>
        </w:rPr>
      </w:pPr>
      <w:r>
        <w:rPr>
          <w:rFonts w:hint="eastAsia" w:asciiTheme="minorEastAsia" w:hAnsiTheme="minorEastAsia" w:eastAsiaTheme="minorEastAsia" w:cstheme="minorEastAsia"/>
          <w:spacing w:val="10"/>
          <w:kern w:val="2"/>
          <w:sz w:val="21"/>
          <w:szCs w:val="21"/>
        </w:rPr>
        <w:t>首次购买理财的个人投资者须前往银行营业网点进行风险承受能力评估和理财签约。通过风险承受能力评估，投资者可以清楚了解自身的风险承受能力和可购买的理财产品风险等级。风险评估须填写《南京银行投资者风险测评问卷(个人版)》</w:t>
      </w:r>
    </w:p>
    <w:p>
      <w:pPr>
        <w:pStyle w:val="8"/>
        <w:spacing w:before="0" w:beforeLines="0" w:after="0" w:afterLines="0" w:line="280" w:lineRule="exact"/>
        <w:ind w:firstLine="462" w:firstLineChars="200"/>
        <w:rPr>
          <w:rFonts w:hint="eastAsia" w:asciiTheme="minorEastAsia" w:hAnsiTheme="minorEastAsia" w:eastAsiaTheme="minorEastAsia" w:cstheme="minorEastAsia"/>
          <w:b/>
          <w:spacing w:val="10"/>
          <w:kern w:val="2"/>
          <w:sz w:val="21"/>
          <w:szCs w:val="21"/>
        </w:rPr>
      </w:pPr>
      <w:r>
        <w:rPr>
          <w:rFonts w:hint="eastAsia" w:asciiTheme="minorEastAsia" w:hAnsiTheme="minorEastAsia" w:eastAsiaTheme="minorEastAsia" w:cstheme="minorEastAsia"/>
          <w:b/>
          <w:spacing w:val="10"/>
          <w:kern w:val="2"/>
          <w:sz w:val="21"/>
          <w:szCs w:val="21"/>
        </w:rPr>
        <w:t>（三）理财产品认/申购申请</w:t>
      </w:r>
    </w:p>
    <w:p>
      <w:pPr>
        <w:pStyle w:val="8"/>
        <w:spacing w:before="0" w:beforeLines="0" w:after="0" w:afterLines="0" w:line="280" w:lineRule="exact"/>
        <w:ind w:firstLine="460" w:firstLineChars="200"/>
        <w:rPr>
          <w:rFonts w:hint="eastAsia" w:asciiTheme="minorEastAsia" w:hAnsiTheme="minorEastAsia" w:eastAsiaTheme="minorEastAsia" w:cstheme="minorEastAsia"/>
          <w:spacing w:val="10"/>
          <w:kern w:val="2"/>
          <w:sz w:val="21"/>
          <w:szCs w:val="21"/>
        </w:rPr>
      </w:pPr>
      <w:r>
        <w:rPr>
          <w:rFonts w:hint="eastAsia" w:asciiTheme="minorEastAsia" w:hAnsiTheme="minorEastAsia" w:eastAsiaTheme="minorEastAsia" w:cstheme="minorEastAsia"/>
          <w:spacing w:val="10"/>
          <w:kern w:val="2"/>
          <w:sz w:val="21"/>
          <w:szCs w:val="21"/>
        </w:rPr>
        <w:t>投资者自主决定是否购买理财产品。在理财产品募集期/开放期销售时段内，投资者可选择在银行营业网点或电子渠道购买。</w:t>
      </w:r>
    </w:p>
    <w:p>
      <w:pPr>
        <w:pStyle w:val="8"/>
        <w:spacing w:before="0" w:beforeLines="0" w:after="0" w:afterLines="0" w:line="280" w:lineRule="exact"/>
        <w:ind w:firstLine="460" w:firstLineChars="200"/>
        <w:rPr>
          <w:rFonts w:hint="eastAsia" w:asciiTheme="minorEastAsia" w:hAnsiTheme="minorEastAsia" w:eastAsiaTheme="minorEastAsia" w:cstheme="minorEastAsia"/>
          <w:spacing w:val="10"/>
          <w:kern w:val="2"/>
          <w:sz w:val="21"/>
          <w:szCs w:val="21"/>
        </w:rPr>
      </w:pPr>
      <w:r>
        <w:rPr>
          <w:rFonts w:hint="eastAsia" w:asciiTheme="minorEastAsia" w:hAnsiTheme="minorEastAsia" w:eastAsiaTheme="minorEastAsia" w:cstheme="minorEastAsia"/>
          <w:spacing w:val="10"/>
          <w:kern w:val="2"/>
          <w:sz w:val="21"/>
          <w:szCs w:val="21"/>
        </w:rPr>
        <w:t>●机构投资者适用</w:t>
      </w:r>
    </w:p>
    <w:p>
      <w:pPr>
        <w:pStyle w:val="8"/>
        <w:spacing w:before="0" w:beforeLines="0" w:after="0" w:afterLines="0" w:line="280" w:lineRule="exact"/>
        <w:ind w:firstLine="460" w:firstLineChars="200"/>
        <w:rPr>
          <w:rFonts w:hint="eastAsia" w:asciiTheme="minorEastAsia" w:hAnsiTheme="minorEastAsia" w:eastAsiaTheme="minorEastAsia" w:cstheme="minorEastAsia"/>
          <w:spacing w:val="10"/>
          <w:kern w:val="2"/>
          <w:sz w:val="21"/>
          <w:szCs w:val="21"/>
        </w:rPr>
      </w:pPr>
      <w:r>
        <w:rPr>
          <w:rFonts w:hint="eastAsia" w:asciiTheme="minorEastAsia" w:hAnsiTheme="minorEastAsia" w:eastAsiaTheme="minorEastAsia" w:cstheme="minorEastAsia"/>
          <w:spacing w:val="10"/>
          <w:kern w:val="2"/>
          <w:sz w:val="21"/>
          <w:szCs w:val="21"/>
        </w:rPr>
        <w:t>机构投资者购买理财产品前应通过理财签约交易开通理财账户</w:t>
      </w:r>
      <w:r>
        <w:rPr>
          <w:rStyle w:val="13"/>
          <w:rFonts w:hint="eastAsia" w:asciiTheme="minorEastAsia" w:hAnsiTheme="minorEastAsia" w:eastAsiaTheme="minorEastAsia" w:cstheme="minorEastAsia"/>
          <w:color w:val="auto"/>
          <w:kern w:val="2"/>
        </w:rPr>
        <w:t>，</w:t>
      </w:r>
      <w:r>
        <w:rPr>
          <w:rFonts w:hint="eastAsia" w:asciiTheme="minorEastAsia" w:hAnsiTheme="minorEastAsia" w:eastAsiaTheme="minorEastAsia" w:cstheme="minorEastAsia"/>
          <w:spacing w:val="10"/>
          <w:kern w:val="2"/>
          <w:sz w:val="21"/>
          <w:szCs w:val="21"/>
        </w:rPr>
        <w:t>按照对应期次的《理财产品说明书》约定的币种和金额存入授权指定账户，银行柜面服务人员通过柜面相关交易录入投资者认/申购信息，完成认/申购交易；</w:t>
      </w:r>
    </w:p>
    <w:p>
      <w:pPr>
        <w:pStyle w:val="8"/>
        <w:spacing w:before="0" w:beforeLines="0" w:after="0" w:afterLines="0" w:line="280" w:lineRule="exact"/>
        <w:ind w:firstLine="460" w:firstLineChars="200"/>
        <w:rPr>
          <w:rFonts w:hint="eastAsia" w:asciiTheme="minorEastAsia" w:hAnsiTheme="minorEastAsia" w:eastAsiaTheme="minorEastAsia" w:cstheme="minorEastAsia"/>
          <w:spacing w:val="10"/>
          <w:kern w:val="2"/>
          <w:sz w:val="21"/>
          <w:szCs w:val="21"/>
        </w:rPr>
      </w:pPr>
      <w:r>
        <w:rPr>
          <w:rFonts w:hint="eastAsia" w:asciiTheme="minorEastAsia" w:hAnsiTheme="minorEastAsia" w:eastAsiaTheme="minorEastAsia" w:cstheme="minorEastAsia"/>
          <w:spacing w:val="10"/>
          <w:kern w:val="2"/>
          <w:sz w:val="21"/>
          <w:szCs w:val="21"/>
        </w:rPr>
        <w:t>●个人投资者适用</w:t>
      </w:r>
    </w:p>
    <w:p>
      <w:pPr>
        <w:pStyle w:val="8"/>
        <w:spacing w:before="0" w:beforeLines="0" w:after="0" w:afterLines="0" w:line="280" w:lineRule="exact"/>
        <w:ind w:firstLine="462" w:firstLineChars="200"/>
        <w:rPr>
          <w:rFonts w:hint="eastAsia" w:asciiTheme="minorEastAsia" w:hAnsiTheme="minorEastAsia" w:eastAsiaTheme="minorEastAsia" w:cstheme="minorEastAsia"/>
          <w:spacing w:val="10"/>
          <w:kern w:val="2"/>
          <w:sz w:val="21"/>
          <w:szCs w:val="21"/>
        </w:rPr>
      </w:pPr>
      <w:r>
        <w:rPr>
          <w:rFonts w:hint="eastAsia" w:asciiTheme="minorEastAsia" w:hAnsiTheme="minorEastAsia" w:eastAsiaTheme="minorEastAsia" w:cstheme="minorEastAsia"/>
          <w:b/>
          <w:bCs/>
          <w:spacing w:val="10"/>
          <w:kern w:val="2"/>
          <w:sz w:val="21"/>
          <w:szCs w:val="21"/>
        </w:rPr>
        <w:t>如投资者选择在银行营业网点购买理财产品，流程如下</w:t>
      </w:r>
      <w:r>
        <w:rPr>
          <w:rFonts w:hint="eastAsia" w:asciiTheme="minorEastAsia" w:hAnsiTheme="minorEastAsia" w:eastAsiaTheme="minorEastAsia" w:cstheme="minorEastAsia"/>
          <w:spacing w:val="10"/>
          <w:kern w:val="2"/>
          <w:sz w:val="21"/>
          <w:szCs w:val="21"/>
        </w:rPr>
        <w:t>：</w:t>
      </w:r>
    </w:p>
    <w:p>
      <w:pPr>
        <w:pStyle w:val="8"/>
        <w:spacing w:before="0" w:beforeLines="0" w:after="0" w:afterLines="0" w:line="280" w:lineRule="exact"/>
        <w:ind w:firstLine="460" w:firstLineChars="200"/>
        <w:rPr>
          <w:rFonts w:hint="eastAsia" w:asciiTheme="minorEastAsia" w:hAnsiTheme="minorEastAsia" w:eastAsiaTheme="minorEastAsia" w:cstheme="minorEastAsia"/>
          <w:spacing w:val="10"/>
          <w:kern w:val="2"/>
          <w:sz w:val="21"/>
          <w:szCs w:val="21"/>
        </w:rPr>
      </w:pPr>
      <w:r>
        <w:rPr>
          <w:rFonts w:hint="eastAsia" w:asciiTheme="minorEastAsia" w:hAnsiTheme="minorEastAsia" w:eastAsiaTheme="minorEastAsia" w:cstheme="minorEastAsia"/>
          <w:spacing w:val="10"/>
          <w:kern w:val="2"/>
          <w:sz w:val="21"/>
          <w:szCs w:val="21"/>
        </w:rPr>
        <w:t>理财产品推荐及录音录像（以下简称“双录”）。银行理财产品销售人员根据投资者的风险评估结果，向投资者推荐合适的理财产品，提供理财产品销售文件，介绍产品相关条款及风险揭示等内容。投资者应仔细阅读拟购买理财产品销售文件，自主决定是否购买，如确认购买，须在《理财产品销售协议书》上</w:t>
      </w:r>
      <w:r>
        <w:rPr>
          <w:rFonts w:hint="eastAsia" w:asciiTheme="minorEastAsia" w:hAnsiTheme="minorEastAsia" w:eastAsiaTheme="minorEastAsia" w:cstheme="minorEastAsia"/>
          <w:spacing w:val="10"/>
          <w:kern w:val="2"/>
          <w:sz w:val="21"/>
          <w:szCs w:val="21"/>
          <w:lang w:eastAsia="zh-CN"/>
        </w:rPr>
        <w:t>签名</w:t>
      </w:r>
      <w:r>
        <w:rPr>
          <w:rFonts w:hint="eastAsia" w:asciiTheme="minorEastAsia" w:hAnsiTheme="minorEastAsia" w:eastAsiaTheme="minorEastAsia" w:cstheme="minorEastAsia"/>
          <w:spacing w:val="10"/>
          <w:kern w:val="2"/>
          <w:sz w:val="21"/>
          <w:szCs w:val="21"/>
        </w:rPr>
        <w:t>确认，并在《理财产品风险揭示书》上亲自抄录风险揭示语句。银行理财产品销售人员须在销售专区对理财销售全过程进行双录。完成双录后，投资者须在《南京银行风险产品录音录像确认单》上</w:t>
      </w:r>
      <w:r>
        <w:rPr>
          <w:rFonts w:hint="eastAsia" w:asciiTheme="minorEastAsia" w:hAnsiTheme="minorEastAsia" w:eastAsiaTheme="minorEastAsia" w:cstheme="minorEastAsia"/>
          <w:spacing w:val="10"/>
          <w:kern w:val="2"/>
          <w:sz w:val="21"/>
          <w:szCs w:val="21"/>
          <w:lang w:eastAsia="zh-CN"/>
        </w:rPr>
        <w:t>签名</w:t>
      </w:r>
      <w:r>
        <w:rPr>
          <w:rFonts w:hint="eastAsia" w:asciiTheme="minorEastAsia" w:hAnsiTheme="minorEastAsia" w:eastAsiaTheme="minorEastAsia" w:cstheme="minorEastAsia"/>
          <w:spacing w:val="10"/>
          <w:kern w:val="2"/>
          <w:sz w:val="21"/>
          <w:szCs w:val="21"/>
        </w:rPr>
        <w:t>确认。</w:t>
      </w:r>
    </w:p>
    <w:p>
      <w:pPr>
        <w:pStyle w:val="8"/>
        <w:spacing w:before="0" w:beforeLines="0" w:after="0" w:afterLines="0" w:line="280" w:lineRule="exact"/>
        <w:ind w:firstLine="460" w:firstLineChars="200"/>
        <w:rPr>
          <w:rFonts w:hint="eastAsia" w:asciiTheme="minorEastAsia" w:hAnsiTheme="minorEastAsia" w:eastAsiaTheme="minorEastAsia" w:cstheme="minorEastAsia"/>
          <w:spacing w:val="10"/>
          <w:kern w:val="2"/>
          <w:sz w:val="21"/>
          <w:szCs w:val="21"/>
        </w:rPr>
      </w:pPr>
      <w:r>
        <w:rPr>
          <w:rFonts w:hint="eastAsia" w:asciiTheme="minorEastAsia" w:hAnsiTheme="minorEastAsia" w:eastAsiaTheme="minorEastAsia" w:cstheme="minorEastAsia"/>
          <w:spacing w:val="10"/>
          <w:kern w:val="2"/>
          <w:sz w:val="21"/>
          <w:szCs w:val="21"/>
        </w:rPr>
        <w:t>个人投资者向银行申请购买理财产品前须开立银行借记卡、通过理财签约交易开通理财账户，在理财产品</w:t>
      </w:r>
      <w:r>
        <w:rPr>
          <w:rFonts w:hint="eastAsia" w:asciiTheme="minorEastAsia" w:hAnsiTheme="minorEastAsia" w:eastAsiaTheme="minorEastAsia" w:cstheme="minorEastAsia"/>
          <w:color w:val="auto"/>
          <w:spacing w:val="10"/>
          <w:kern w:val="2"/>
          <w:sz w:val="21"/>
          <w:szCs w:val="21"/>
        </w:rPr>
        <w:t>认购期/</w:t>
      </w:r>
      <w:r>
        <w:rPr>
          <w:rFonts w:hint="eastAsia" w:asciiTheme="minorEastAsia" w:hAnsiTheme="minorEastAsia" w:eastAsiaTheme="minorEastAsia" w:cstheme="minorEastAsia"/>
          <w:spacing w:val="10"/>
          <w:kern w:val="2"/>
          <w:sz w:val="21"/>
          <w:szCs w:val="21"/>
        </w:rPr>
        <w:t>募集期/开放期销售时段内,按照对应期次的《理财产品说明书》约定的币种和金额存入授权指定账户。</w:t>
      </w:r>
    </w:p>
    <w:p>
      <w:pPr>
        <w:pStyle w:val="8"/>
        <w:spacing w:before="0" w:beforeLines="0" w:after="0" w:afterLines="0" w:line="280" w:lineRule="exact"/>
        <w:ind w:firstLine="460" w:firstLineChars="200"/>
        <w:rPr>
          <w:rFonts w:hint="eastAsia" w:asciiTheme="minorEastAsia" w:hAnsiTheme="minorEastAsia" w:eastAsiaTheme="minorEastAsia" w:cstheme="minorEastAsia"/>
          <w:spacing w:val="10"/>
          <w:kern w:val="2"/>
          <w:sz w:val="21"/>
          <w:szCs w:val="21"/>
        </w:rPr>
      </w:pPr>
      <w:r>
        <w:rPr>
          <w:rFonts w:hint="eastAsia" w:asciiTheme="minorEastAsia" w:hAnsiTheme="minorEastAsia" w:eastAsiaTheme="minorEastAsia" w:cstheme="minorEastAsia"/>
          <w:spacing w:val="10"/>
          <w:kern w:val="2"/>
          <w:sz w:val="21"/>
          <w:szCs w:val="21"/>
        </w:rPr>
        <w:t>个人投资者将本人有效身份证件、已</w:t>
      </w:r>
      <w:r>
        <w:rPr>
          <w:rFonts w:hint="eastAsia" w:asciiTheme="minorEastAsia" w:hAnsiTheme="minorEastAsia" w:eastAsiaTheme="minorEastAsia" w:cstheme="minorEastAsia"/>
          <w:spacing w:val="10"/>
          <w:kern w:val="2"/>
          <w:sz w:val="21"/>
          <w:szCs w:val="21"/>
          <w:lang w:eastAsia="zh-CN"/>
        </w:rPr>
        <w:t>签名</w:t>
      </w:r>
      <w:r>
        <w:rPr>
          <w:rFonts w:hint="eastAsia" w:asciiTheme="minorEastAsia" w:hAnsiTheme="minorEastAsia" w:eastAsiaTheme="minorEastAsia" w:cstheme="minorEastAsia"/>
          <w:spacing w:val="10"/>
          <w:kern w:val="2"/>
          <w:sz w:val="21"/>
          <w:szCs w:val="21"/>
        </w:rPr>
        <w:t>确认的理财认/申购申请资料和《南京银行风险产品录音录像确认单》提交银行柜面服务人员进行购买操作，银行柜面服务人员通过柜面相关交易录入投资者认/申购信息，完成认/申购交易。</w:t>
      </w:r>
    </w:p>
    <w:p>
      <w:pPr>
        <w:pStyle w:val="8"/>
        <w:spacing w:before="0" w:beforeLines="0" w:after="0" w:afterLines="0" w:line="280" w:lineRule="exact"/>
        <w:ind w:firstLine="462"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b/>
          <w:bCs/>
          <w:spacing w:val="10"/>
          <w:kern w:val="2"/>
          <w:sz w:val="21"/>
          <w:szCs w:val="21"/>
        </w:rPr>
        <w:t>如投资者选择在银行提供的电子银行（包括但不限于网上银行、手机银行或监管机构认可的其他销售渠道）购买理财产品</w:t>
      </w:r>
      <w:r>
        <w:rPr>
          <w:rFonts w:hint="eastAsia" w:asciiTheme="minorEastAsia" w:hAnsiTheme="minorEastAsia" w:eastAsiaTheme="minorEastAsia" w:cstheme="minorEastAsia"/>
          <w:spacing w:val="10"/>
          <w:kern w:val="2"/>
          <w:sz w:val="21"/>
          <w:szCs w:val="21"/>
        </w:rPr>
        <w:t>，投资者需通过相关电子银行渠道仔细阅读理财产品销售文件，根据认</w:t>
      </w:r>
      <w:r>
        <w:rPr>
          <w:rFonts w:hint="eastAsia" w:asciiTheme="minorEastAsia" w:hAnsiTheme="minorEastAsia" w:eastAsiaTheme="minorEastAsia" w:cstheme="minorEastAsia"/>
          <w:color w:val="auto"/>
          <w:spacing w:val="10"/>
          <w:kern w:val="2"/>
          <w:sz w:val="21"/>
          <w:szCs w:val="21"/>
        </w:rPr>
        <w:t>购流程逐项点击确认进行购买。</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（四）理财产品</w:t>
      </w:r>
      <w:r>
        <w:rPr>
          <w:rFonts w:hint="eastAsia" w:asciiTheme="minorEastAsia" w:hAnsiTheme="minorEastAsia" w:eastAsiaTheme="minorEastAsia" w:cstheme="minorEastAsia"/>
          <w:b/>
          <w:bCs/>
          <w:color w:val="auto"/>
          <w:spacing w:val="10"/>
          <w:kern w:val="2"/>
          <w:sz w:val="21"/>
          <w:szCs w:val="21"/>
        </w:rPr>
        <w:t>认/申购申请撤销</w:t>
      </w:r>
      <w:r>
        <w:rPr>
          <w:rFonts w:hint="eastAsia" w:asciiTheme="minorEastAsia" w:hAnsiTheme="minorEastAsia" w:eastAsiaTheme="minorEastAsia" w:cstheme="minorEastAsia"/>
          <w:color w:val="auto"/>
          <w:spacing w:val="10"/>
          <w:kern w:val="2"/>
          <w:sz w:val="21"/>
          <w:szCs w:val="21"/>
        </w:rPr>
        <w:t>。投资者在理财产品认购期/募集期/开放期</w:t>
      </w:r>
      <w:r>
        <w:rPr>
          <w:rFonts w:hint="eastAsia" w:asciiTheme="minorEastAsia" w:hAnsiTheme="minorEastAsia" w:eastAsiaTheme="minorEastAsia" w:cstheme="minorEastAsia"/>
          <w:color w:val="auto"/>
          <w:spacing w:val="10"/>
          <w:sz w:val="21"/>
          <w:szCs w:val="21"/>
        </w:rPr>
        <w:t>/投资冷静期（私募产品适用）</w:t>
      </w:r>
      <w:r>
        <w:rPr>
          <w:rFonts w:hint="eastAsia" w:asciiTheme="minorEastAsia" w:hAnsiTheme="minorEastAsia" w:eastAsiaTheme="minorEastAsia" w:cstheme="minorEastAsia"/>
          <w:color w:val="auto"/>
          <w:spacing w:val="10"/>
          <w:kern w:val="2"/>
          <w:sz w:val="21"/>
          <w:szCs w:val="21"/>
        </w:rPr>
        <w:t>内，可以撤销理财产品相应的认/申购申请。</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（五）理财产品</w:t>
      </w:r>
      <w:r>
        <w:rPr>
          <w:rFonts w:hint="eastAsia" w:asciiTheme="minorEastAsia" w:hAnsiTheme="minorEastAsia" w:eastAsiaTheme="minorEastAsia" w:cstheme="minorEastAsia"/>
          <w:b/>
          <w:bCs/>
          <w:color w:val="auto"/>
          <w:spacing w:val="10"/>
          <w:kern w:val="2"/>
          <w:sz w:val="21"/>
          <w:szCs w:val="21"/>
        </w:rPr>
        <w:t>提前终止、赎回/到期兑付和税收。</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提前终止—当理财产品发生全部提前终止时，银行应当按照对应期次的《理财产品说明书》约定的方式向投资者告知相应理财产品的提前终止事宜。</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赎回/到期兑付—银行应当按照对应期次的《理财产品说明书》的相关约定，将赎回兑付款项划入销售文件约定的投资者授权指定账户。</w:t>
      </w:r>
      <w:r>
        <w:rPr>
          <w:rFonts w:hint="eastAsia" w:asciiTheme="minorEastAsia" w:hAnsiTheme="minorEastAsia" w:eastAsiaTheme="minorEastAsia" w:cstheme="minorEastAsia"/>
          <w:spacing w:val="10"/>
          <w:sz w:val="21"/>
          <w:szCs w:val="21"/>
        </w:rPr>
        <w:t>如果发生特殊情形，造成本产品的基础资产无法及时、足额变现，银行可以根据实际情况选择向投资者提前兑付、延迟兑付或者分次兑付，并及时根据法律法规的要求向投资者披露兑付方案。</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税收—以对应期次的《理财产品说明书》约定的税务处理方式为准，如遇国家政策调整则相应执行最新政策。</w:t>
      </w:r>
    </w:p>
    <w:p>
      <w:pPr>
        <w:pStyle w:val="8"/>
        <w:spacing w:before="0" w:beforeLines="0" w:after="0" w:afterLines="0" w:line="280" w:lineRule="exact"/>
        <w:ind w:firstLine="0"/>
        <w:rPr>
          <w:rFonts w:hint="eastAsia" w:asciiTheme="minorEastAsia" w:hAnsiTheme="minorEastAsia" w:eastAsiaTheme="minorEastAsia" w:cstheme="minorEastAsia"/>
          <w:color w:val="auto"/>
          <w:spacing w:val="10"/>
          <w:kern w:val="2"/>
          <w:sz w:val="21"/>
          <w:szCs w:val="21"/>
        </w:rPr>
      </w:pPr>
    </w:p>
    <w:p>
      <w:pPr>
        <w:pStyle w:val="8"/>
        <w:numPr>
          <w:ilvl w:val="0"/>
          <w:numId w:val="2"/>
        </w:numPr>
        <w:spacing w:before="0" w:beforeLines="0" w:after="0" w:afterLines="0" w:line="280" w:lineRule="exact"/>
        <w:rPr>
          <w:rFonts w:hint="eastAsia" w:asciiTheme="minorEastAsia" w:hAnsiTheme="minorEastAsia" w:eastAsiaTheme="minorEastAsia" w:cstheme="minorEastAsia"/>
          <w:b/>
          <w:color w:val="auto"/>
          <w:spacing w:val="10"/>
          <w:kern w:val="2"/>
          <w:sz w:val="21"/>
          <w:szCs w:val="21"/>
        </w:rPr>
      </w:pPr>
      <w:r>
        <w:rPr>
          <w:rFonts w:hint="eastAsia" w:asciiTheme="minorEastAsia" w:hAnsiTheme="minorEastAsia" w:eastAsiaTheme="minorEastAsia" w:cstheme="minorEastAsia"/>
          <w:b/>
          <w:color w:val="auto"/>
          <w:spacing w:val="10"/>
          <w:kern w:val="2"/>
          <w:sz w:val="21"/>
          <w:szCs w:val="21"/>
        </w:rPr>
        <w:t>投资者风险承受能力评估流程说明</w:t>
      </w:r>
    </w:p>
    <w:p>
      <w:pPr>
        <w:pStyle w:val="8"/>
        <w:spacing w:before="0" w:beforeLines="0" w:after="0" w:afterLines="0" w:line="280" w:lineRule="exact"/>
        <w:ind w:left="260" w:firstLine="0"/>
        <w:rPr>
          <w:rFonts w:hint="eastAsia" w:asciiTheme="minorEastAsia" w:hAnsiTheme="minorEastAsia" w:eastAsiaTheme="minorEastAsia" w:cstheme="minorEastAsia"/>
          <w:b/>
          <w:color w:val="auto"/>
          <w:spacing w:val="10"/>
          <w:kern w:val="2"/>
          <w:sz w:val="21"/>
          <w:szCs w:val="21"/>
        </w:rPr>
      </w:pPr>
      <w:r>
        <w:rPr>
          <w:rFonts w:hint="eastAsia" w:asciiTheme="minorEastAsia" w:hAnsiTheme="minorEastAsia" w:eastAsiaTheme="minorEastAsia" w:cstheme="minorEastAsia"/>
          <w:b/>
          <w:color w:val="auto"/>
          <w:spacing w:val="10"/>
          <w:kern w:val="2"/>
          <w:sz w:val="21"/>
          <w:szCs w:val="21"/>
        </w:rPr>
        <w:t>（一）个人投资者风险承受能力评估流程说明</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个人投资者风险承受能力评估说明。个人投资者在购买理财产品前应进行风险承受能力评估，银行应提供统一的《南京银行投资者风险测评问卷(个人版)》供个人投资者进行风险评估；银行对个人投资者风险承受能力评估的评级由低到高包括五级，分别为：低（一级）、中低（二级）、中（三级）、中高（四级）和高（五级）。</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●个人投资者风险承受能力评估内容。风险评估的内容主要包括：投资者年龄、财务状况、投资经验、投资目的、收益预期、风险偏好、流动性需求、风险认识以及风险损失承受程度等。</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●银行完成投资者风险评估后应当将评级结果告知个人投资者，由个人投资者签名确认后留存。</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个人投资者超过一年未进行风险评估或发生可能影响自身风险承受能力情况的，再次购买理财产品时，应当在银行网点或银行电子渠道完成风险承受能力持续评估，在银行网点柜面重新评估的，评估结果应当由投资者签名确认；</w:t>
      </w:r>
      <w:r>
        <w:rPr>
          <w:rFonts w:hint="eastAsia" w:asciiTheme="minorEastAsia" w:hAnsiTheme="minorEastAsia" w:eastAsiaTheme="minorEastAsia" w:cstheme="minorEastAsia"/>
          <w:b/>
          <w:color w:val="auto"/>
          <w:spacing w:val="10"/>
          <w:kern w:val="2"/>
          <w:sz w:val="21"/>
          <w:szCs w:val="21"/>
          <w:u w:val="single"/>
        </w:rPr>
        <w:t>未进行持续风险评估的投资者不能再次购买银行理财产品。</w:t>
      </w:r>
    </w:p>
    <w:p>
      <w:pPr>
        <w:pStyle w:val="8"/>
        <w:spacing w:before="0" w:beforeLines="0" w:after="0" w:afterLines="0" w:line="280" w:lineRule="exact"/>
        <w:ind w:firstLine="462" w:firstLineChars="200"/>
        <w:rPr>
          <w:rFonts w:hint="eastAsia" w:asciiTheme="minorEastAsia" w:hAnsiTheme="minorEastAsia" w:eastAsiaTheme="minorEastAsia" w:cstheme="minorEastAsia"/>
          <w:b/>
          <w:color w:val="auto"/>
          <w:spacing w:val="10"/>
          <w:kern w:val="2"/>
          <w:sz w:val="21"/>
          <w:szCs w:val="21"/>
        </w:rPr>
      </w:pPr>
      <w:r>
        <w:rPr>
          <w:rFonts w:hint="eastAsia" w:asciiTheme="minorEastAsia" w:hAnsiTheme="minorEastAsia" w:eastAsiaTheme="minorEastAsia" w:cstheme="minorEastAsia"/>
          <w:b/>
          <w:color w:val="auto"/>
          <w:spacing w:val="10"/>
          <w:kern w:val="2"/>
          <w:sz w:val="21"/>
          <w:szCs w:val="21"/>
        </w:rPr>
        <w:t>●特别提示：如个人投资者发生可能影响其自身风险承受能力的情况，再次购买理财产品时应当主动要求银行对其进行风险承受能力评估。</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●评级具体含义说明。个人投资者风险承受能力评估结果的含义如下：</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低（一级）：风险承受能力弱，不能承担本金损失的风险，且收益率不能低于银行活期存款利息率。</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中低（二级）：风险承受能力弱，希望通过投资达到资金保值的目的。</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中（三级）：风险承受能力一般，能接受投资导致本金有损失。</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中高（四级）：风险承受能力尚可，能承担一定比例的本金损失。</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高（五级）：风险承受能力强，能承担较大比例的本金损失。</w:t>
      </w:r>
    </w:p>
    <w:p>
      <w:pPr>
        <w:pStyle w:val="8"/>
        <w:spacing w:before="0" w:beforeLines="0" w:after="0" w:afterLines="0" w:line="280" w:lineRule="exact"/>
        <w:ind w:left="260" w:firstLine="0"/>
        <w:rPr>
          <w:rFonts w:hint="eastAsia" w:asciiTheme="minorEastAsia" w:hAnsiTheme="minorEastAsia" w:eastAsiaTheme="minorEastAsia" w:cstheme="minorEastAsia"/>
          <w:b/>
          <w:color w:val="auto"/>
          <w:spacing w:val="10"/>
          <w:kern w:val="2"/>
          <w:sz w:val="21"/>
          <w:szCs w:val="21"/>
        </w:rPr>
      </w:pPr>
      <w:r>
        <w:rPr>
          <w:rFonts w:hint="eastAsia" w:asciiTheme="minorEastAsia" w:hAnsiTheme="minorEastAsia" w:eastAsiaTheme="minorEastAsia" w:cstheme="minorEastAsia"/>
          <w:b/>
          <w:color w:val="auto"/>
          <w:spacing w:val="10"/>
          <w:kern w:val="2"/>
          <w:sz w:val="21"/>
          <w:szCs w:val="21"/>
        </w:rPr>
        <w:t>（二）机构投资者风险承受能力评估流程说明</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机构投资者请根据自身的财务状况、投资经验、投资目标、风险认知、风险判断及其他因素综合考量理财产品的投资风险及自身的风险承受能力。机构投资者应自行履行其风险承受能力评估义务，并对此承担相应责任。</w:t>
      </w:r>
    </w:p>
    <w:p>
      <w:pPr>
        <w:pStyle w:val="8"/>
        <w:spacing w:before="0" w:beforeLines="0" w:after="0" w:afterLines="0" w:line="280" w:lineRule="exact"/>
        <w:ind w:firstLine="231" w:firstLineChars="100"/>
        <w:rPr>
          <w:rFonts w:hint="eastAsia" w:asciiTheme="minorEastAsia" w:hAnsiTheme="minorEastAsia" w:eastAsiaTheme="minorEastAsia" w:cstheme="minorEastAsia"/>
          <w:b/>
          <w:color w:val="auto"/>
          <w:spacing w:val="10"/>
          <w:kern w:val="2"/>
          <w:sz w:val="21"/>
          <w:szCs w:val="21"/>
        </w:rPr>
      </w:pPr>
      <w:r>
        <w:rPr>
          <w:rFonts w:hint="eastAsia" w:asciiTheme="minorEastAsia" w:hAnsiTheme="minorEastAsia" w:eastAsiaTheme="minorEastAsia" w:cstheme="minorEastAsia"/>
          <w:b/>
          <w:color w:val="auto"/>
          <w:spacing w:val="10"/>
          <w:kern w:val="2"/>
          <w:sz w:val="21"/>
          <w:szCs w:val="21"/>
        </w:rPr>
        <w:t>（三）银行理财产品风险等级说明</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银行理财产品按运行方式和投资范围不同，其承担的风险程度各有不同，银行将其风险等级分为五级，分别为：低（一级）、中低（二级）、中（三级）、中高（四级）和高（五级）。</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●投资者风险承受能力等级与适合购买的理财产品说明</w:t>
      </w:r>
    </w:p>
    <w:tbl>
      <w:tblPr>
        <w:tblStyle w:val="10"/>
        <w:tblW w:w="5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829"/>
        <w:gridCol w:w="965"/>
        <w:gridCol w:w="761"/>
        <w:gridCol w:w="893"/>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201" w:type="dxa"/>
            <w:vAlign w:val="center"/>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投资者风险承受能力</w:t>
            </w:r>
          </w:p>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等级</w:t>
            </w:r>
          </w:p>
        </w:tc>
        <w:tc>
          <w:tcPr>
            <w:tcW w:w="4276" w:type="dxa"/>
            <w:gridSpan w:val="5"/>
            <w:vAlign w:val="center"/>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南京银行理财产品风险等级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201"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p>
        </w:tc>
        <w:tc>
          <w:tcPr>
            <w:tcW w:w="829"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低（一级）</w:t>
            </w:r>
          </w:p>
        </w:tc>
        <w:tc>
          <w:tcPr>
            <w:tcW w:w="965"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中低（二级）</w:t>
            </w:r>
          </w:p>
        </w:tc>
        <w:tc>
          <w:tcPr>
            <w:tcW w:w="761"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中（三级）</w:t>
            </w:r>
          </w:p>
        </w:tc>
        <w:tc>
          <w:tcPr>
            <w:tcW w:w="893"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中高（四级）</w:t>
            </w:r>
          </w:p>
        </w:tc>
        <w:tc>
          <w:tcPr>
            <w:tcW w:w="828"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高（五级）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低（一级）</w:t>
            </w:r>
          </w:p>
        </w:tc>
        <w:tc>
          <w:tcPr>
            <w:tcW w:w="829"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965"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761"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893"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828"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中低（二级）</w:t>
            </w:r>
          </w:p>
        </w:tc>
        <w:tc>
          <w:tcPr>
            <w:tcW w:w="829"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965"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761"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893"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828"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中（三级）</w:t>
            </w:r>
          </w:p>
        </w:tc>
        <w:tc>
          <w:tcPr>
            <w:tcW w:w="829"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965"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761"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893"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828"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中高（四级）</w:t>
            </w:r>
          </w:p>
        </w:tc>
        <w:tc>
          <w:tcPr>
            <w:tcW w:w="829"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965"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761"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893"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828"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高（五级）</w:t>
            </w:r>
          </w:p>
        </w:tc>
        <w:tc>
          <w:tcPr>
            <w:tcW w:w="829"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965"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761"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893"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828"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r>
    </w:tbl>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备注：√代表可以购买；×代表不能购买。</w:t>
      </w:r>
    </w:p>
    <w:p>
      <w:pPr>
        <w:pStyle w:val="8"/>
        <w:numPr>
          <w:ilvl w:val="0"/>
          <w:numId w:val="2"/>
        </w:numPr>
        <w:spacing w:before="0" w:beforeLines="0" w:after="0" w:afterLines="0" w:line="280" w:lineRule="exact"/>
        <w:rPr>
          <w:rFonts w:hint="eastAsia" w:asciiTheme="minorEastAsia" w:hAnsiTheme="minorEastAsia" w:eastAsiaTheme="minorEastAsia" w:cstheme="minorEastAsia"/>
          <w:b/>
          <w:color w:val="auto"/>
          <w:spacing w:val="10"/>
          <w:kern w:val="2"/>
          <w:sz w:val="21"/>
          <w:szCs w:val="21"/>
        </w:rPr>
      </w:pPr>
      <w:r>
        <w:rPr>
          <w:rFonts w:hint="eastAsia" w:asciiTheme="minorEastAsia" w:hAnsiTheme="minorEastAsia" w:eastAsiaTheme="minorEastAsia" w:cstheme="minorEastAsia"/>
          <w:b/>
          <w:color w:val="auto"/>
          <w:spacing w:val="10"/>
          <w:kern w:val="2"/>
          <w:sz w:val="21"/>
          <w:szCs w:val="21"/>
        </w:rPr>
        <w:t>理财产品信息披露的方式、渠道和频率说明</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●银行按照对应期次《理财产品说明书》的约定的渠道，发布理财产品的成立、运作、到期清算或提前终止等信息公告。</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投资者预留在银行的有效联系方式变更的，应及时通知银行。如投资者未及时告知银行联系方式变更，造成银行在需要时无法联系投资者，并由此影响投资者的投资决策，因此而产生的责任和风险由投资者自行承担。</w:t>
      </w:r>
    </w:p>
    <w:p>
      <w:pPr>
        <w:pStyle w:val="8"/>
        <w:spacing w:before="0" w:beforeLines="0" w:after="0" w:afterLines="0" w:line="280" w:lineRule="exact"/>
        <w:ind w:firstLine="462" w:firstLineChars="200"/>
        <w:rPr>
          <w:rFonts w:hint="eastAsia" w:asciiTheme="minorEastAsia" w:hAnsiTheme="minorEastAsia" w:eastAsiaTheme="minorEastAsia" w:cstheme="minorEastAsia"/>
          <w:b/>
          <w:bCs/>
          <w:color w:val="auto"/>
          <w:spacing w:val="10"/>
          <w:kern w:val="2"/>
          <w:sz w:val="21"/>
          <w:szCs w:val="21"/>
        </w:rPr>
      </w:pPr>
      <w:r>
        <w:rPr>
          <w:rFonts w:hint="eastAsia" w:asciiTheme="minorEastAsia" w:hAnsiTheme="minorEastAsia" w:eastAsiaTheme="minorEastAsia" w:cstheme="minorEastAsia"/>
          <w:b/>
          <w:bCs/>
          <w:color w:val="auto"/>
          <w:spacing w:val="10"/>
          <w:kern w:val="2"/>
          <w:sz w:val="21"/>
          <w:szCs w:val="21"/>
        </w:rPr>
        <w:t>第四条投资者信息保护</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●银行承诺依法履行投资者信息保密义务，防范投资者信息被不当采集、使用、传输和泄露，保护投资者的信息安全，法律法规另有规定，或</w:t>
      </w:r>
      <w:r>
        <w:rPr>
          <w:rFonts w:hint="eastAsia" w:asciiTheme="minorEastAsia" w:hAnsiTheme="minorEastAsia" w:eastAsiaTheme="minorEastAsia" w:cstheme="minorEastAsia"/>
          <w:color w:val="auto"/>
          <w:spacing w:val="10"/>
          <w:kern w:val="2"/>
          <w:sz w:val="21"/>
          <w:szCs w:val="21"/>
          <w:lang w:eastAsia="zh-CN"/>
        </w:rPr>
        <w:t>有权</w:t>
      </w:r>
      <w:r>
        <w:rPr>
          <w:rFonts w:hint="eastAsia" w:asciiTheme="minorEastAsia" w:hAnsiTheme="minorEastAsia" w:eastAsiaTheme="minorEastAsia" w:cstheme="minorEastAsia"/>
          <w:color w:val="auto"/>
          <w:spacing w:val="10"/>
          <w:kern w:val="2"/>
          <w:sz w:val="21"/>
          <w:szCs w:val="21"/>
        </w:rPr>
        <w:t>机关另有要求的情形除外。</w:t>
      </w:r>
    </w:p>
    <w:p>
      <w:pPr>
        <w:pStyle w:val="8"/>
        <w:spacing w:before="0" w:beforeLines="0" w:after="0" w:afterLines="0" w:line="280" w:lineRule="exact"/>
        <w:ind w:firstLine="462" w:firstLineChars="200"/>
        <w:rPr>
          <w:rFonts w:hint="eastAsia" w:asciiTheme="minorEastAsia" w:hAnsiTheme="minorEastAsia" w:eastAsiaTheme="minorEastAsia" w:cstheme="minorEastAsia"/>
          <w:b/>
          <w:color w:val="auto"/>
          <w:spacing w:val="10"/>
          <w:kern w:val="2"/>
          <w:sz w:val="21"/>
          <w:szCs w:val="21"/>
        </w:rPr>
      </w:pPr>
      <w:r>
        <w:rPr>
          <w:rFonts w:hint="eastAsia" w:asciiTheme="minorEastAsia" w:hAnsiTheme="minorEastAsia" w:eastAsiaTheme="minorEastAsia" w:cstheme="minorEastAsia"/>
          <w:b/>
          <w:color w:val="auto"/>
          <w:spacing w:val="10"/>
          <w:kern w:val="2"/>
          <w:sz w:val="21"/>
          <w:szCs w:val="21"/>
        </w:rPr>
        <w:t>第五条投资者向银行投诉的方式和程序</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●投资者若需投诉，请随时拨打银行全国统一客服热线进行投诉。</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●投资者的投诉将被记录，并在银行内部形成投诉处理工作单，银行相关部门和人员将在接到投资者的投诉后，按照相关流程进行处理。</w:t>
      </w:r>
    </w:p>
    <w:p>
      <w:pPr>
        <w:pStyle w:val="8"/>
        <w:spacing w:before="0" w:beforeLines="0" w:after="0" w:afterLines="0" w:line="280" w:lineRule="exact"/>
        <w:ind w:firstLine="462" w:firstLineChars="200"/>
        <w:rPr>
          <w:rFonts w:hint="eastAsia" w:asciiTheme="minorEastAsia" w:hAnsiTheme="minorEastAsia" w:eastAsiaTheme="minorEastAsia" w:cstheme="minorEastAsia"/>
          <w:b/>
          <w:color w:val="auto"/>
          <w:spacing w:val="10"/>
          <w:kern w:val="2"/>
          <w:sz w:val="21"/>
          <w:szCs w:val="21"/>
        </w:rPr>
      </w:pPr>
      <w:r>
        <w:rPr>
          <w:rFonts w:hint="eastAsia" w:asciiTheme="minorEastAsia" w:hAnsiTheme="minorEastAsia" w:eastAsiaTheme="minorEastAsia" w:cstheme="minorEastAsia"/>
          <w:b/>
          <w:color w:val="auto"/>
          <w:spacing w:val="10"/>
          <w:kern w:val="2"/>
          <w:sz w:val="21"/>
          <w:szCs w:val="21"/>
        </w:rPr>
        <w:t>第六条银行联络方式</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●全国统一客服热线：95302。</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●银行网站：</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"http://www.njcb.com.cn" </w:instrText>
      </w:r>
      <w:r>
        <w:rPr>
          <w:rFonts w:hint="eastAsia" w:asciiTheme="minorEastAsia" w:hAnsiTheme="minorEastAsia" w:eastAsiaTheme="minorEastAsia" w:cstheme="minorEastAsia"/>
          <w:sz w:val="21"/>
          <w:szCs w:val="21"/>
        </w:rPr>
        <w:fldChar w:fldCharType="separate"/>
      </w:r>
      <w:r>
        <w:rPr>
          <w:rStyle w:val="12"/>
          <w:rFonts w:hint="eastAsia" w:asciiTheme="minorEastAsia" w:hAnsiTheme="minorEastAsia" w:eastAsiaTheme="minorEastAsia" w:cstheme="minorEastAsia"/>
          <w:spacing w:val="10"/>
          <w:kern w:val="2"/>
          <w:sz w:val="21"/>
          <w:szCs w:val="21"/>
        </w:rPr>
        <w:t>www.njcb.com.cn</w:t>
      </w:r>
      <w:r>
        <w:rPr>
          <w:rStyle w:val="12"/>
          <w:rFonts w:hint="eastAsia" w:asciiTheme="minorEastAsia" w:hAnsiTheme="minorEastAsia" w:eastAsiaTheme="minorEastAsia" w:cstheme="minorEastAsia"/>
          <w:spacing w:val="10"/>
          <w:kern w:val="2"/>
          <w:sz w:val="21"/>
          <w:szCs w:val="21"/>
        </w:rPr>
        <w:fldChar w:fldCharType="end"/>
      </w:r>
      <w:r>
        <w:rPr>
          <w:rFonts w:hint="eastAsia" w:asciiTheme="minorEastAsia" w:hAnsiTheme="minorEastAsia" w:eastAsiaTheme="minorEastAsia" w:cstheme="minorEastAsia"/>
          <w:color w:val="auto"/>
          <w:spacing w:val="10"/>
          <w:kern w:val="2"/>
          <w:sz w:val="21"/>
          <w:szCs w:val="21"/>
        </w:rPr>
        <w:t>。</w:t>
      </w:r>
    </w:p>
    <w:p>
      <w:pPr>
        <w:pStyle w:val="8"/>
        <w:spacing w:before="0" w:beforeLines="0" w:after="0" w:afterLines="0" w:line="280" w:lineRule="exact"/>
        <w:ind w:firstLine="462" w:firstLineChars="200"/>
        <w:rPr>
          <w:rFonts w:hint="eastAsia" w:asciiTheme="minorEastAsia" w:hAnsiTheme="minorEastAsia" w:eastAsiaTheme="minorEastAsia" w:cstheme="minorEastAsia"/>
          <w:b/>
          <w:color w:val="auto"/>
          <w:spacing w:val="10"/>
          <w:kern w:val="2"/>
          <w:sz w:val="21"/>
          <w:szCs w:val="21"/>
        </w:rPr>
      </w:pPr>
      <w:r>
        <w:rPr>
          <w:rFonts w:hint="eastAsia" w:asciiTheme="minorEastAsia" w:hAnsiTheme="minorEastAsia" w:eastAsiaTheme="minorEastAsia" w:cstheme="minorEastAsia"/>
          <w:b/>
          <w:color w:val="auto"/>
          <w:spacing w:val="10"/>
          <w:kern w:val="2"/>
          <w:sz w:val="21"/>
          <w:szCs w:val="21"/>
        </w:rPr>
        <w:t>第七条重要须知</w:t>
      </w:r>
    </w:p>
    <w:p>
      <w:pPr>
        <w:pStyle w:val="8"/>
        <w:spacing w:before="0" w:beforeLines="0" w:after="0" w:afterLines="0" w:line="280" w:lineRule="exact"/>
        <w:ind w:firstLine="462" w:firstLineChars="200"/>
        <w:rPr>
          <w:rFonts w:hint="eastAsia" w:asciiTheme="minorEastAsia" w:hAnsiTheme="minorEastAsia" w:eastAsiaTheme="minorEastAsia" w:cstheme="minorEastAsia"/>
          <w:b/>
          <w:color w:val="auto"/>
          <w:spacing w:val="10"/>
          <w:kern w:val="2"/>
          <w:sz w:val="21"/>
          <w:szCs w:val="21"/>
          <w:u w:val="single"/>
        </w:rPr>
      </w:pPr>
      <w:r>
        <w:rPr>
          <w:rFonts w:hint="eastAsia" w:asciiTheme="minorEastAsia" w:hAnsiTheme="minorEastAsia" w:eastAsiaTheme="minorEastAsia" w:cstheme="minorEastAsia"/>
          <w:b/>
          <w:spacing w:val="10"/>
          <w:sz w:val="21"/>
          <w:szCs w:val="21"/>
        </w:rPr>
        <w:t>本理财产品由南京银行股份有限公司理财业务专营部门资产管理业务中心进行管理。根据《商业银行理财业务监督管理办法》第十四条的规定：“商业银行应当通过具有独立法人地位的理财子公司开展理财业务。暂不具备条件的，商业银行总行应当设立理财业务专营部门，对理财业务实行集中统一经营管理。”南京银行已于2019年12月19日</w:t>
      </w:r>
      <w:r>
        <w:rPr>
          <w:rFonts w:hint="eastAsia" w:asciiTheme="minorEastAsia" w:hAnsiTheme="minorEastAsia" w:eastAsiaTheme="minorEastAsia" w:cstheme="minorEastAsia"/>
          <w:b/>
          <w:spacing w:val="10"/>
          <w:sz w:val="21"/>
          <w:szCs w:val="21"/>
          <w:lang w:val="en-US" w:eastAsia="zh-CN"/>
        </w:rPr>
        <w:t>公告</w:t>
      </w:r>
      <w:r>
        <w:rPr>
          <w:rFonts w:hint="eastAsia" w:asciiTheme="minorEastAsia" w:hAnsiTheme="minorEastAsia" w:eastAsiaTheme="minorEastAsia" w:cstheme="minorEastAsia"/>
          <w:b/>
          <w:spacing w:val="10"/>
          <w:sz w:val="21"/>
          <w:szCs w:val="21"/>
        </w:rPr>
        <w:t>获中国银保监会批复筹建南京银行理财子公司，未来，对于由南京银行发行运作、且符合监管规定的可划转的理财产品，将逐步由南京银行划转至南京银行理财子公司，并进行理财产品销售文件的变更，由南京银行理财子公司作为管理人继续勤勉尽责地开展产品管理工作。如投资者购买本产品，则视为同意届时本产品管理人由南京银行变更为南京银行理财子公司，投资者已充分认识到本产品管理人的变更可能存在的风险，并对该等变更无任何异议。具体管理人变更及产品划转安排将按照相关信息披露要求进行披露，请投资者及时关注相关信息。即使本理财产品销售文件中有其他约定，关于本理财产品管理人变更的事宜仍以本</w:t>
      </w:r>
      <w:r>
        <w:rPr>
          <w:rFonts w:hint="eastAsia" w:asciiTheme="minorEastAsia" w:hAnsiTheme="minorEastAsia" w:eastAsiaTheme="minorEastAsia" w:cstheme="minorEastAsia"/>
          <w:b/>
          <w:spacing w:val="10"/>
          <w:sz w:val="21"/>
          <w:szCs w:val="21"/>
          <w:lang w:eastAsia="zh-CN"/>
        </w:rPr>
        <w:t>条</w:t>
      </w:r>
      <w:r>
        <w:rPr>
          <w:rFonts w:hint="eastAsia" w:asciiTheme="minorEastAsia" w:hAnsiTheme="minorEastAsia" w:eastAsiaTheme="minorEastAsia" w:cstheme="minorEastAsia"/>
          <w:b/>
          <w:spacing w:val="10"/>
          <w:sz w:val="21"/>
          <w:szCs w:val="21"/>
        </w:rPr>
        <w:t>约定为准。</w:t>
      </w:r>
    </w:p>
    <w:p>
      <w:pPr>
        <w:pStyle w:val="8"/>
        <w:spacing w:before="0" w:beforeLines="0" w:after="0" w:afterLines="0" w:line="280" w:lineRule="exact"/>
        <w:ind w:firstLine="0"/>
        <w:jc w:val="center"/>
        <w:rPr>
          <w:rFonts w:hint="eastAsia" w:asciiTheme="minorEastAsia" w:hAnsiTheme="minorEastAsia" w:eastAsiaTheme="minorEastAsia" w:cstheme="minorEastAsia"/>
          <w:b/>
          <w:color w:val="auto"/>
          <w:spacing w:val="10"/>
          <w:kern w:val="2"/>
          <w:sz w:val="21"/>
          <w:szCs w:val="21"/>
          <w:u w:val="single"/>
        </w:rPr>
      </w:pPr>
    </w:p>
    <w:p>
      <w:pPr>
        <w:pStyle w:val="8"/>
        <w:spacing w:before="0" w:beforeLines="0" w:after="0" w:afterLines="0" w:line="280" w:lineRule="exact"/>
        <w:ind w:firstLine="0"/>
        <w:jc w:val="center"/>
        <w:rPr>
          <w:rFonts w:hint="eastAsia" w:asciiTheme="minorEastAsia" w:hAnsiTheme="minorEastAsia" w:eastAsiaTheme="minorEastAsia" w:cstheme="minorEastAsia"/>
          <w:b/>
          <w:color w:val="auto"/>
          <w:spacing w:val="10"/>
          <w:kern w:val="2"/>
          <w:sz w:val="21"/>
          <w:szCs w:val="21"/>
          <w:u w:val="single"/>
        </w:rPr>
      </w:pPr>
      <w:r>
        <w:rPr>
          <w:rFonts w:hint="eastAsia" w:asciiTheme="minorEastAsia" w:hAnsiTheme="minorEastAsia" w:eastAsiaTheme="minorEastAsia" w:cstheme="minorEastAsia"/>
          <w:b/>
          <w:color w:val="auto"/>
          <w:spacing w:val="10"/>
          <w:kern w:val="2"/>
          <w:sz w:val="21"/>
          <w:szCs w:val="21"/>
          <w:u w:val="single"/>
        </w:rPr>
        <w:t>仔细阅读提示</w:t>
      </w:r>
    </w:p>
    <w:p>
      <w:pPr>
        <w:pStyle w:val="8"/>
        <w:spacing w:before="0" w:beforeLines="0" w:after="0" w:afterLines="0" w:line="280" w:lineRule="exact"/>
        <w:ind w:firstLine="0"/>
        <w:rPr>
          <w:rFonts w:hint="eastAsia" w:asciiTheme="minorEastAsia" w:hAnsiTheme="minorEastAsia" w:eastAsiaTheme="minorEastAsia" w:cstheme="minorEastAsia"/>
          <w:b/>
          <w:color w:val="auto"/>
          <w:spacing w:val="10"/>
          <w:kern w:val="2"/>
          <w:sz w:val="21"/>
          <w:szCs w:val="21"/>
          <w:u w:val="single"/>
        </w:rPr>
      </w:pPr>
      <w:r>
        <w:rPr>
          <w:rFonts w:hint="eastAsia" w:asciiTheme="minorEastAsia" w:hAnsiTheme="minorEastAsia" w:eastAsiaTheme="minorEastAsia" w:cstheme="minorEastAsia"/>
          <w:b/>
          <w:color w:val="auto"/>
          <w:spacing w:val="10"/>
          <w:kern w:val="2"/>
          <w:sz w:val="21"/>
          <w:szCs w:val="21"/>
          <w:u w:val="single"/>
        </w:rPr>
        <w:t>请投资者一定仔细阅读本理财产品销售文件，包括但不限于：《理财产品销售协议书》、《理财产品说明书》、《理财产品风险揭示书》、《投资者权益须知》等，了解理财产品具体情况，关注投资风险，自主决定是否投资。</w:t>
      </w:r>
    </w:p>
    <w:p>
      <w:pPr>
        <w:pStyle w:val="3"/>
        <w:numPr>
          <w:ilvl w:val="255"/>
          <w:numId w:val="0"/>
        </w:numPr>
        <w:tabs>
          <w:tab w:val="left" w:pos="0"/>
        </w:tabs>
        <w:spacing w:beforeLines="0" w:afterLines="0" w:line="280" w:lineRule="exact"/>
        <w:jc w:val="center"/>
        <w:rPr>
          <w:rFonts w:hint="eastAsia" w:asciiTheme="minorEastAsia" w:hAnsiTheme="minorEastAsia" w:eastAsiaTheme="minorEastAsia" w:cstheme="minorEastAsia"/>
          <w:b w:val="0"/>
          <w:sz w:val="21"/>
          <w:szCs w:val="21"/>
          <w:lang w:eastAsia="zh-CN"/>
        </w:rPr>
      </w:pPr>
    </w:p>
    <w:p>
      <w:pPr>
        <w:pStyle w:val="3"/>
        <w:numPr>
          <w:ilvl w:val="255"/>
          <w:numId w:val="0"/>
        </w:numPr>
        <w:tabs>
          <w:tab w:val="left" w:pos="0"/>
        </w:tabs>
        <w:spacing w:beforeLines="0" w:afterLines="0" w:line="280" w:lineRule="exact"/>
        <w:jc w:val="center"/>
        <w:rPr>
          <w:rFonts w:hint="eastAsia" w:asciiTheme="minorEastAsia" w:hAnsiTheme="minorEastAsia" w:eastAsiaTheme="minorEastAsia" w:cstheme="minorEastAsia"/>
          <w:b w:val="0"/>
          <w:sz w:val="21"/>
          <w:szCs w:val="21"/>
          <w:lang w:eastAsia="zh-CN"/>
        </w:rPr>
      </w:pPr>
    </w:p>
    <w:p>
      <w:pPr>
        <w:pStyle w:val="3"/>
        <w:numPr>
          <w:ilvl w:val="255"/>
          <w:numId w:val="0"/>
        </w:numPr>
        <w:tabs>
          <w:tab w:val="left" w:pos="0"/>
        </w:tabs>
        <w:spacing w:beforeLines="0" w:afterLines="0" w:line="280" w:lineRule="exact"/>
        <w:jc w:val="center"/>
        <w:rPr>
          <w:rFonts w:hint="eastAsia" w:asciiTheme="minorEastAsia" w:hAnsiTheme="minorEastAsia" w:eastAsiaTheme="minorEastAsia" w:cstheme="minorEastAsia"/>
          <w:b w:val="0"/>
          <w:sz w:val="21"/>
          <w:szCs w:val="21"/>
          <w:lang w:eastAsia="zh-CN"/>
        </w:rPr>
      </w:pPr>
    </w:p>
    <w:p>
      <w:pPr>
        <w:pStyle w:val="3"/>
        <w:numPr>
          <w:ilvl w:val="255"/>
          <w:numId w:val="0"/>
        </w:numPr>
        <w:tabs>
          <w:tab w:val="left" w:pos="0"/>
        </w:tabs>
        <w:spacing w:beforeLines="0" w:afterLines="0" w:line="280" w:lineRule="exact"/>
        <w:jc w:val="center"/>
        <w:rPr>
          <w:rFonts w:hint="eastAsia" w:asciiTheme="minorEastAsia" w:hAnsiTheme="minorEastAsia" w:eastAsiaTheme="minorEastAsia" w:cstheme="minorEastAsia"/>
          <w:b w:val="0"/>
          <w:sz w:val="21"/>
          <w:szCs w:val="21"/>
          <w:lang w:eastAsia="zh-CN"/>
        </w:rPr>
      </w:pPr>
    </w:p>
    <w:p>
      <w:pPr>
        <w:pStyle w:val="3"/>
        <w:numPr>
          <w:ilvl w:val="255"/>
          <w:numId w:val="0"/>
        </w:numPr>
        <w:tabs>
          <w:tab w:val="left" w:pos="0"/>
        </w:tabs>
        <w:spacing w:beforeLines="0" w:afterLines="0" w:line="280" w:lineRule="exact"/>
        <w:jc w:val="center"/>
        <w:rPr>
          <w:rFonts w:hint="eastAsia" w:asciiTheme="minorEastAsia" w:hAnsiTheme="minorEastAsia" w:eastAsiaTheme="minorEastAsia" w:cstheme="minorEastAsia"/>
          <w:b w:val="0"/>
          <w:sz w:val="21"/>
          <w:szCs w:val="21"/>
          <w:lang w:eastAsia="zh-CN"/>
        </w:rPr>
      </w:pPr>
    </w:p>
    <w:p>
      <w:pPr>
        <w:pStyle w:val="3"/>
        <w:numPr>
          <w:ilvl w:val="255"/>
          <w:numId w:val="0"/>
        </w:numPr>
        <w:tabs>
          <w:tab w:val="left" w:pos="0"/>
        </w:tabs>
        <w:spacing w:beforeLines="0" w:afterLines="0" w:line="280" w:lineRule="exact"/>
        <w:jc w:val="center"/>
        <w:rPr>
          <w:rFonts w:hint="eastAsia" w:asciiTheme="minorEastAsia" w:hAnsiTheme="minorEastAsia" w:eastAsiaTheme="minorEastAsia" w:cstheme="minorEastAsia"/>
          <w:b w:val="0"/>
          <w:sz w:val="21"/>
          <w:szCs w:val="21"/>
          <w:lang w:eastAsia="zh-CN"/>
        </w:rPr>
      </w:pPr>
    </w:p>
    <w:p>
      <w:pPr>
        <w:pStyle w:val="3"/>
        <w:numPr>
          <w:ilvl w:val="255"/>
          <w:numId w:val="0"/>
        </w:numPr>
        <w:tabs>
          <w:tab w:val="left" w:pos="0"/>
        </w:tabs>
        <w:spacing w:beforeLines="0" w:afterLines="0" w:line="280" w:lineRule="exact"/>
        <w:jc w:val="center"/>
        <w:rPr>
          <w:rFonts w:hint="eastAsia" w:asciiTheme="minorEastAsia" w:hAnsiTheme="minorEastAsia" w:eastAsiaTheme="minorEastAsia" w:cstheme="minorEastAsia"/>
          <w:b w:val="0"/>
          <w:sz w:val="21"/>
          <w:szCs w:val="21"/>
          <w:lang w:eastAsia="zh-CN"/>
        </w:rPr>
      </w:pPr>
    </w:p>
    <w:p>
      <w:pPr>
        <w:spacing w:beforeLines="0" w:afterLines="0" w:line="280" w:lineRule="exact"/>
        <w:rPr>
          <w:rFonts w:hint="eastAsia" w:asciiTheme="minorEastAsia" w:hAnsiTheme="minorEastAsia" w:eastAsiaTheme="minorEastAsia" w:cstheme="minorEastAsia"/>
          <w:b w:val="0"/>
          <w:sz w:val="21"/>
          <w:szCs w:val="21"/>
          <w:lang w:eastAsia="zh-CN"/>
        </w:rPr>
      </w:pPr>
    </w:p>
    <w:p>
      <w:pPr>
        <w:spacing w:beforeLines="0" w:afterLines="0" w:line="280" w:lineRule="exact"/>
        <w:rPr>
          <w:rFonts w:hint="eastAsia" w:asciiTheme="minorEastAsia" w:hAnsiTheme="minorEastAsia" w:eastAsiaTheme="minorEastAsia" w:cstheme="minorEastAsia"/>
          <w:b w:val="0"/>
          <w:sz w:val="21"/>
          <w:szCs w:val="21"/>
          <w:lang w:eastAsia="zh-CN"/>
        </w:rPr>
      </w:pPr>
    </w:p>
    <w:p>
      <w:pPr>
        <w:spacing w:beforeLines="0" w:afterLines="0" w:line="280" w:lineRule="exact"/>
        <w:rPr>
          <w:rFonts w:hint="eastAsia" w:asciiTheme="minorEastAsia" w:hAnsiTheme="minorEastAsia" w:eastAsiaTheme="minorEastAsia" w:cstheme="minorEastAsia"/>
          <w:b w:val="0"/>
          <w:sz w:val="21"/>
          <w:szCs w:val="21"/>
          <w:lang w:eastAsia="zh-CN"/>
        </w:rPr>
      </w:pPr>
    </w:p>
    <w:p>
      <w:pPr>
        <w:spacing w:beforeLines="0" w:afterLines="0" w:line="280" w:lineRule="exact"/>
        <w:rPr>
          <w:rFonts w:hint="eastAsia" w:asciiTheme="minorEastAsia" w:hAnsiTheme="minorEastAsia" w:eastAsiaTheme="minorEastAsia" w:cstheme="minorEastAsia"/>
          <w:b w:val="0"/>
          <w:sz w:val="21"/>
          <w:szCs w:val="21"/>
          <w:lang w:eastAsia="zh-CN"/>
        </w:rPr>
      </w:pPr>
    </w:p>
    <w:p>
      <w:pPr>
        <w:spacing w:beforeLines="0" w:afterLines="0" w:line="280" w:lineRule="exact"/>
        <w:rPr>
          <w:rFonts w:hint="eastAsia" w:asciiTheme="minorEastAsia" w:hAnsiTheme="minorEastAsia" w:eastAsiaTheme="minorEastAsia" w:cstheme="minorEastAsia"/>
          <w:b w:val="0"/>
          <w:sz w:val="21"/>
          <w:szCs w:val="21"/>
          <w:lang w:eastAsia="zh-CN"/>
        </w:rPr>
      </w:pPr>
    </w:p>
    <w:p>
      <w:pPr>
        <w:spacing w:beforeLines="0" w:afterLines="0" w:line="280" w:lineRule="exact"/>
        <w:rPr>
          <w:rFonts w:hint="eastAsia" w:asciiTheme="minorEastAsia" w:hAnsiTheme="minorEastAsia" w:eastAsiaTheme="minorEastAsia" w:cstheme="minorEastAsia"/>
          <w:b w:val="0"/>
          <w:sz w:val="21"/>
          <w:szCs w:val="21"/>
          <w:lang w:eastAsia="zh-CN"/>
        </w:rPr>
      </w:pPr>
    </w:p>
    <w:p>
      <w:pPr>
        <w:spacing w:beforeLines="0" w:afterLines="0" w:line="280" w:lineRule="exact"/>
        <w:rPr>
          <w:rFonts w:hint="eastAsia" w:asciiTheme="minorEastAsia" w:hAnsiTheme="minorEastAsia" w:eastAsiaTheme="minorEastAsia" w:cstheme="minorEastAsia"/>
          <w:b w:val="0"/>
          <w:sz w:val="21"/>
          <w:szCs w:val="21"/>
          <w:lang w:eastAsia="zh-CN"/>
        </w:rPr>
      </w:pPr>
    </w:p>
    <w:p>
      <w:pPr>
        <w:spacing w:beforeLines="0" w:afterLines="0" w:line="280" w:lineRule="exact"/>
        <w:rPr>
          <w:rFonts w:hint="eastAsia" w:asciiTheme="minorEastAsia" w:hAnsiTheme="minorEastAsia" w:eastAsiaTheme="minorEastAsia" w:cstheme="minorEastAsia"/>
          <w:b w:val="0"/>
          <w:sz w:val="21"/>
          <w:szCs w:val="21"/>
          <w:lang w:eastAsia="zh-CN"/>
        </w:rPr>
      </w:pPr>
    </w:p>
    <w:p>
      <w:pPr>
        <w:spacing w:beforeLines="0" w:afterLines="0" w:line="280" w:lineRule="exact"/>
        <w:rPr>
          <w:rFonts w:hint="eastAsia" w:asciiTheme="minorEastAsia" w:hAnsiTheme="minorEastAsia" w:eastAsiaTheme="minorEastAsia" w:cstheme="minorEastAsia"/>
          <w:b w:val="0"/>
          <w:sz w:val="21"/>
          <w:szCs w:val="21"/>
          <w:lang w:eastAsia="zh-CN"/>
        </w:rPr>
      </w:pPr>
    </w:p>
    <w:p>
      <w:pPr>
        <w:spacing w:beforeLines="0" w:afterLines="0" w:line="280" w:lineRule="exact"/>
        <w:rPr>
          <w:rFonts w:hint="eastAsia" w:asciiTheme="minorEastAsia" w:hAnsiTheme="minorEastAsia" w:eastAsiaTheme="minorEastAsia" w:cstheme="minorEastAsia"/>
          <w:b w:val="0"/>
          <w:sz w:val="21"/>
          <w:szCs w:val="21"/>
          <w:lang w:eastAsia="zh-CN"/>
        </w:rPr>
      </w:pPr>
    </w:p>
    <w:p>
      <w:pPr>
        <w:spacing w:beforeLines="0" w:afterLines="0" w:line="280" w:lineRule="exact"/>
        <w:rPr>
          <w:rFonts w:hint="eastAsia" w:asciiTheme="minorEastAsia" w:hAnsiTheme="minorEastAsia" w:eastAsiaTheme="minorEastAsia" w:cstheme="minorEastAsia"/>
          <w:b w:val="0"/>
          <w:sz w:val="21"/>
          <w:szCs w:val="21"/>
          <w:lang w:eastAsia="zh-CN"/>
        </w:rPr>
      </w:pPr>
    </w:p>
    <w:p>
      <w:pPr>
        <w:spacing w:beforeLines="0" w:afterLines="0" w:line="280" w:lineRule="exact"/>
        <w:rPr>
          <w:rFonts w:hint="eastAsia" w:asciiTheme="minorEastAsia" w:hAnsiTheme="minorEastAsia" w:eastAsiaTheme="minorEastAsia" w:cstheme="minorEastAsia"/>
          <w:b w:val="0"/>
          <w:sz w:val="21"/>
          <w:szCs w:val="21"/>
          <w:lang w:eastAsia="zh-CN"/>
        </w:rPr>
      </w:pPr>
    </w:p>
    <w:p>
      <w:pPr>
        <w:spacing w:beforeLines="0" w:afterLines="0" w:line="280" w:lineRule="exact"/>
        <w:rPr>
          <w:rFonts w:hint="eastAsia" w:asciiTheme="minorEastAsia" w:hAnsiTheme="minorEastAsia" w:eastAsiaTheme="minorEastAsia" w:cstheme="minorEastAsia"/>
          <w:b w:val="0"/>
          <w:sz w:val="21"/>
          <w:szCs w:val="21"/>
          <w:lang w:eastAsia="zh-CN"/>
        </w:rPr>
      </w:pPr>
    </w:p>
    <w:p>
      <w:pPr>
        <w:spacing w:beforeLines="0" w:afterLines="0" w:line="280" w:lineRule="exact"/>
        <w:rPr>
          <w:rFonts w:hint="eastAsia" w:asciiTheme="minorEastAsia" w:hAnsiTheme="minorEastAsia" w:eastAsiaTheme="minorEastAsia" w:cstheme="minorEastAsia"/>
          <w:b w:val="0"/>
          <w:sz w:val="21"/>
          <w:szCs w:val="21"/>
          <w:lang w:eastAsia="zh-CN"/>
        </w:rPr>
      </w:pPr>
    </w:p>
    <w:p>
      <w:pPr>
        <w:spacing w:beforeLines="0" w:afterLines="0" w:line="280" w:lineRule="exact"/>
        <w:rPr>
          <w:rFonts w:hint="eastAsia" w:asciiTheme="minorEastAsia" w:hAnsiTheme="minorEastAsia" w:eastAsiaTheme="minorEastAsia" w:cstheme="minorEastAsia"/>
          <w:b w:val="0"/>
          <w:sz w:val="21"/>
          <w:szCs w:val="21"/>
          <w:lang w:eastAsia="zh-CN"/>
        </w:rPr>
      </w:pPr>
    </w:p>
    <w:p>
      <w:pPr>
        <w:pStyle w:val="3"/>
        <w:numPr>
          <w:ilvl w:val="255"/>
          <w:numId w:val="0"/>
        </w:numPr>
        <w:tabs>
          <w:tab w:val="left" w:pos="0"/>
        </w:tabs>
        <w:spacing w:beforeLines="0" w:afterLines="0" w:line="280" w:lineRule="exact"/>
        <w:jc w:val="center"/>
        <w:rPr>
          <w:rFonts w:hint="eastAsia" w:asciiTheme="minorEastAsia" w:hAnsiTheme="minorEastAsia" w:eastAsiaTheme="minorEastAsia" w:cstheme="minorEastAsia"/>
          <w:b w:val="0"/>
          <w:sz w:val="21"/>
          <w:szCs w:val="21"/>
          <w:lang w:eastAsia="zh-CN"/>
        </w:rPr>
      </w:pPr>
    </w:p>
    <w:p>
      <w:pPr>
        <w:pStyle w:val="3"/>
        <w:numPr>
          <w:ilvl w:val="0"/>
          <w:numId w:val="0"/>
        </w:numPr>
        <w:tabs>
          <w:tab w:val="left" w:pos="0"/>
          <w:tab w:val="left" w:pos="1155"/>
        </w:tabs>
        <w:ind w:left="0" w:hanging="142"/>
        <w:jc w:val="center"/>
        <w:rPr>
          <w:rFonts w:hint="eastAsia" w:ascii="黑体" w:hAnsi="黑体" w:eastAsia="黑体" w:cs="黑体"/>
          <w:b w:val="0"/>
          <w:sz w:val="36"/>
          <w:szCs w:val="36"/>
          <w:highlight w:val="none"/>
          <w:lang w:eastAsia="zh-CN"/>
        </w:rPr>
      </w:pPr>
      <w:r>
        <w:rPr>
          <w:rFonts w:hint="eastAsia" w:ascii="黑体" w:hAnsi="黑体" w:eastAsia="黑体" w:cs="黑体"/>
          <w:b w:val="0"/>
          <w:sz w:val="36"/>
          <w:szCs w:val="36"/>
          <w:highlight w:val="none"/>
          <w:lang w:eastAsia="zh-CN"/>
        </w:rPr>
        <w:t>理财产品销售协议书</w:t>
      </w:r>
    </w:p>
    <w:p>
      <w:pPr>
        <w:adjustRightInd w:val="0"/>
        <w:snapToGrid w:val="0"/>
        <w:spacing w:beforeLines="0" w:afterLines="0" w:line="280" w:lineRule="exact"/>
        <w:rPr>
          <w:rFonts w:hint="eastAsia" w:asciiTheme="minorEastAsia" w:hAnsiTheme="minorEastAsia" w:cstheme="minorEastAsia"/>
          <w:b/>
          <w:bCs/>
          <w:szCs w:val="21"/>
        </w:rPr>
      </w:pPr>
    </w:p>
    <w:p>
      <w:pPr>
        <w:adjustRightInd w:val="0"/>
        <w:snapToGrid w:val="0"/>
        <w:spacing w:beforeLines="0" w:afterLines="0" w:line="280" w:lineRule="exact"/>
        <w:rPr>
          <w:rFonts w:hint="eastAsia" w:asciiTheme="minorEastAsia" w:hAnsiTheme="minorEastAsia" w:cstheme="minorEastAsia"/>
          <w:b/>
          <w:bCs/>
          <w:szCs w:val="21"/>
        </w:rPr>
      </w:pPr>
    </w:p>
    <w:p>
      <w:pPr>
        <w:adjustRightInd w:val="0"/>
        <w:snapToGrid w:val="0"/>
        <w:spacing w:beforeLines="0" w:afterLines="0" w:line="280" w:lineRule="exact"/>
        <w:rPr>
          <w:rFonts w:hint="eastAsia" w:asciiTheme="minorEastAsia" w:hAnsiTheme="minorEastAsia" w:cstheme="minorEastAsia"/>
          <w:b/>
          <w:bCs/>
          <w:szCs w:val="21"/>
        </w:rPr>
      </w:pPr>
      <w:r>
        <w:rPr>
          <w:rFonts w:hint="eastAsia" w:asciiTheme="minorEastAsia" w:hAnsiTheme="minorEastAsia" w:cstheme="minorEastAsia"/>
          <w:b/>
          <w:bCs/>
          <w:szCs w:val="21"/>
        </w:rPr>
        <w:t>风险提示：</w:t>
      </w:r>
    </w:p>
    <w:p>
      <w:pPr>
        <w:adjustRightInd w:val="0"/>
        <w:snapToGrid w:val="0"/>
        <w:spacing w:beforeLines="0" w:afterLines="0" w:line="280" w:lineRule="exact"/>
        <w:rPr>
          <w:rFonts w:hint="eastAsia" w:asciiTheme="minorEastAsia" w:hAnsiTheme="minorEastAsia" w:cstheme="minorEastAsia"/>
          <w:b/>
          <w:bCs/>
          <w:szCs w:val="21"/>
        </w:rPr>
      </w:pPr>
      <w:r>
        <w:rPr>
          <w:rFonts w:hint="eastAsia" w:asciiTheme="minorEastAsia" w:hAnsiTheme="minorEastAsia" w:cstheme="minorEastAsia"/>
          <w:b/>
          <w:bCs/>
          <w:szCs w:val="21"/>
        </w:rPr>
        <w:t>□本理财产品是</w:t>
      </w:r>
      <w:r>
        <w:rPr>
          <w:rFonts w:hint="eastAsia" w:asciiTheme="minorEastAsia" w:hAnsiTheme="minorEastAsia" w:cstheme="minorEastAsia"/>
          <w:b/>
          <w:bCs/>
          <w:i/>
          <w:szCs w:val="21"/>
          <w:u w:val="single"/>
        </w:rPr>
        <w:t>非保本浮动收益型</w:t>
      </w:r>
      <w:r>
        <w:rPr>
          <w:rFonts w:hint="eastAsia" w:asciiTheme="minorEastAsia" w:hAnsiTheme="minorEastAsia" w:cstheme="minorEastAsia"/>
          <w:b/>
          <w:bCs/>
          <w:szCs w:val="21"/>
        </w:rPr>
        <w:t>理财产品，不保证本金和收益，投资者的本金与收益可能会因市场变动而蒙受重大损失，投资者应仔细阅读本理财协议条款和对应期次的《理财产品说明书》和《理财产品风险揭示书》，充分认识投资风险，谨慎投资。</w:t>
      </w:r>
    </w:p>
    <w:p>
      <w:pPr>
        <w:tabs>
          <w:tab w:val="left" w:pos="7920"/>
          <w:tab w:val="left" w:pos="8100"/>
        </w:tabs>
        <w:spacing w:beforeLines="0" w:afterLines="0" w:line="280" w:lineRule="exact"/>
        <w:rPr>
          <w:rFonts w:hint="eastAsia" w:asciiTheme="minorEastAsia" w:hAnsiTheme="minorEastAsia" w:cstheme="minorEastAsia"/>
          <w:b/>
          <w:bCs/>
          <w:szCs w:val="21"/>
        </w:rPr>
      </w:pPr>
      <w:r>
        <w:rPr>
          <w:rFonts w:hint="eastAsia" w:asciiTheme="minorEastAsia" w:hAnsiTheme="minorEastAsia" w:cstheme="minorEastAsia"/>
          <w:b/>
          <w:bCs/>
          <w:szCs w:val="21"/>
        </w:rPr>
        <w:t>□本理财产品是</w:t>
      </w:r>
      <w:r>
        <w:rPr>
          <w:rFonts w:hint="eastAsia" w:asciiTheme="minorEastAsia" w:hAnsiTheme="minorEastAsia" w:cstheme="minorEastAsia"/>
          <w:b/>
          <w:bCs/>
          <w:i/>
          <w:szCs w:val="21"/>
          <w:u w:val="single"/>
        </w:rPr>
        <w:t>保证收益型</w:t>
      </w:r>
      <w:r>
        <w:rPr>
          <w:rFonts w:hint="eastAsia" w:asciiTheme="minorEastAsia" w:hAnsiTheme="minorEastAsia" w:cstheme="minorEastAsia"/>
          <w:b/>
          <w:bCs/>
          <w:szCs w:val="21"/>
        </w:rPr>
        <w:t>理财产品。本理财产品有投资风险，只能保证获得合同明确承诺的收益，投资者应仔细阅读本理财协议条款和对应期次的《理财产品说明书》和《理财产品风险揭示书》，充分认识投资风险，谨慎投资。</w:t>
      </w:r>
    </w:p>
    <w:p>
      <w:pPr>
        <w:spacing w:beforeLines="0" w:afterLines="0" w:line="280" w:lineRule="exact"/>
        <w:ind w:firstLine="420" w:firstLineChars="200"/>
        <w:rPr>
          <w:rFonts w:hint="eastAsia" w:asciiTheme="minorEastAsia" w:hAnsiTheme="minorEastAsia" w:eastAsiaTheme="minorEastAsia" w:cstheme="minorEastAsia"/>
          <w:sz w:val="21"/>
          <w:szCs w:val="21"/>
        </w:rPr>
      </w:pPr>
    </w:p>
    <w:p>
      <w:pPr>
        <w:spacing w:beforeLines="0" w:afterLines="0" w:line="280" w:lineRule="exact"/>
        <w:ind w:firstLine="420" w:firstLineChars="200"/>
        <w:rPr>
          <w:rFonts w:hint="eastAsia" w:asciiTheme="minorEastAsia" w:hAnsiTheme="minorEastAsia" w:eastAsiaTheme="minorEastAsia" w:cstheme="minorEastAsia"/>
          <w:sz w:val="21"/>
          <w:szCs w:val="21"/>
        </w:rPr>
      </w:pPr>
    </w:p>
    <w:p>
      <w:pPr>
        <w:spacing w:beforeLines="0" w:afterLines="0"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经甲方（</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）与乙方（投资者）双方平等友好协商，本着平等自愿、诚实守信的原则，就乙方在甲方购买人民币理财产品的有关事宜达成协议如下：</w:t>
      </w:r>
    </w:p>
    <w:p>
      <w:pPr>
        <w:pStyle w:val="16"/>
        <w:numPr>
          <w:ilvl w:val="0"/>
          <w:numId w:val="3"/>
        </w:numPr>
        <w:spacing w:beforeLines="0" w:afterLines="0" w:line="280" w:lineRule="exact"/>
        <w:ind w:firstLineChars="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理财货币</w:t>
      </w:r>
      <w:r>
        <w:rPr>
          <w:rFonts w:hint="eastAsia" w:asciiTheme="minorEastAsia" w:hAnsiTheme="minorEastAsia" w:cstheme="minorEastAsia"/>
          <w:spacing w:val="10"/>
          <w:sz w:val="21"/>
          <w:szCs w:val="21"/>
          <w:u w:val="single"/>
        </w:rPr>
        <w:t>：人民币</w:t>
      </w:r>
      <w:r>
        <w:rPr>
          <w:rFonts w:hint="eastAsia" w:asciiTheme="minorEastAsia" w:hAnsiTheme="minorEastAsia" w:cstheme="minorEastAsia"/>
          <w:spacing w:val="10"/>
          <w:sz w:val="21"/>
          <w:szCs w:val="21"/>
        </w:rPr>
        <w:t>；认/申购产品名称</w:t>
      </w:r>
      <w:r>
        <w:rPr>
          <w:rFonts w:hint="eastAsia" w:asciiTheme="minorEastAsia" w:hAnsiTheme="minorEastAsia" w:cstheme="minorEastAsia"/>
          <w:spacing w:val="10"/>
          <w:sz w:val="21"/>
          <w:szCs w:val="21"/>
          <w:u w:val="single"/>
        </w:rPr>
        <w:t>：</w:t>
      </w:r>
      <w:r>
        <w:rPr>
          <w:rFonts w:hint="eastAsia" w:asciiTheme="minorEastAsia" w:hAnsiTheme="minorEastAsia" w:cstheme="minorEastAsia"/>
          <w:spacing w:val="10"/>
          <w:sz w:val="21"/>
          <w:szCs w:val="21"/>
          <w:u w:val="single"/>
          <w:lang w:val="en-US" w:eastAsia="zh-CN"/>
        </w:rPr>
        <w:t xml:space="preserve">      </w:t>
      </w:r>
      <w:r>
        <w:rPr>
          <w:rFonts w:hint="eastAsia" w:asciiTheme="minorEastAsia" w:hAnsiTheme="minorEastAsia" w:cstheme="minorEastAsia"/>
          <w:spacing w:val="10"/>
          <w:sz w:val="21"/>
          <w:szCs w:val="21"/>
        </w:rPr>
        <w:t>；认/申购产品期次</w:t>
      </w:r>
      <w:r>
        <w:rPr>
          <w:rFonts w:hint="eastAsia" w:asciiTheme="minorEastAsia" w:hAnsiTheme="minorEastAsia" w:cstheme="minorEastAsia"/>
          <w:spacing w:val="10"/>
          <w:sz w:val="21"/>
          <w:szCs w:val="21"/>
          <w:u w:val="single"/>
        </w:rPr>
        <w:t>：</w:t>
      </w:r>
      <w:r>
        <w:rPr>
          <w:rFonts w:hint="eastAsia" w:asciiTheme="minorEastAsia" w:hAnsiTheme="minorEastAsia" w:cstheme="minorEastAsia"/>
          <w:spacing w:val="10"/>
          <w:sz w:val="21"/>
          <w:szCs w:val="21"/>
          <w:u w:val="single"/>
          <w:lang w:val="en-US" w:eastAsia="zh-CN"/>
        </w:rPr>
        <w:t xml:space="preserve">      </w:t>
      </w:r>
      <w:r>
        <w:rPr>
          <w:rFonts w:hint="eastAsia" w:asciiTheme="minorEastAsia" w:hAnsiTheme="minorEastAsia" w:cstheme="minorEastAsia"/>
          <w:spacing w:val="10"/>
          <w:sz w:val="21"/>
          <w:szCs w:val="21"/>
        </w:rPr>
        <w:t>；认/申购产品代码</w:t>
      </w:r>
      <w:r>
        <w:rPr>
          <w:rFonts w:hint="eastAsia" w:asciiTheme="minorEastAsia" w:hAnsiTheme="minorEastAsia" w:cstheme="minorEastAsia"/>
          <w:spacing w:val="10"/>
          <w:sz w:val="21"/>
          <w:szCs w:val="21"/>
          <w:u w:val="single"/>
        </w:rPr>
        <w:t xml:space="preserve">:               </w:t>
      </w:r>
      <w:r>
        <w:rPr>
          <w:rFonts w:hint="eastAsia" w:asciiTheme="minorEastAsia" w:hAnsiTheme="minorEastAsia" w:cstheme="minorEastAsia"/>
          <w:spacing w:val="10"/>
          <w:sz w:val="21"/>
          <w:szCs w:val="21"/>
        </w:rPr>
        <w:t>；□业绩比较基准□预期年化收益率</w:t>
      </w:r>
      <w:r>
        <w:rPr>
          <w:rFonts w:hint="eastAsia" w:asciiTheme="minorEastAsia" w:hAnsiTheme="minorEastAsia" w:cstheme="minorEastAsia"/>
          <w:spacing w:val="10"/>
          <w:sz w:val="21"/>
          <w:szCs w:val="21"/>
          <w:u w:val="single"/>
        </w:rPr>
        <w:t>：    %</w:t>
      </w:r>
      <w:r>
        <w:rPr>
          <w:rFonts w:hint="eastAsia" w:asciiTheme="minorEastAsia" w:hAnsiTheme="minorEastAsia" w:cstheme="minorEastAsia"/>
          <w:sz w:val="21"/>
          <w:szCs w:val="21"/>
        </w:rPr>
        <w:t>（开放式理财产品以对应期次的《理财产品说明书》约定为准）</w:t>
      </w:r>
      <w:r>
        <w:rPr>
          <w:rFonts w:hint="eastAsia" w:asciiTheme="minorEastAsia" w:hAnsiTheme="minorEastAsia" w:cstheme="minorEastAsia"/>
          <w:spacing w:val="10"/>
          <w:sz w:val="21"/>
          <w:szCs w:val="21"/>
        </w:rPr>
        <w:t>；</w:t>
      </w:r>
      <w:r>
        <w:rPr>
          <w:rFonts w:hint="eastAsia" w:asciiTheme="minorEastAsia" w:hAnsiTheme="minorEastAsia" w:cstheme="minorEastAsia"/>
          <w:sz w:val="21"/>
          <w:szCs w:val="21"/>
        </w:rPr>
        <w:t>收益起始日：</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rPr>
        <w:t>年</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rPr>
        <w:t>月</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rPr>
        <w:t>日（开放式理财产品以对应期次的《理财产品说明书》约定为准）；实际到期日：</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rPr>
        <w:t>年</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rPr>
        <w:t>月</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rPr>
        <w:t>日（开放式理财产品以对应期次的《理财产品说明书》约定为准）。</w:t>
      </w:r>
    </w:p>
    <w:p>
      <w:pPr>
        <w:pStyle w:val="16"/>
        <w:numPr>
          <w:ilvl w:val="0"/>
          <w:numId w:val="3"/>
        </w:numPr>
        <w:spacing w:beforeLines="0" w:afterLines="0" w:line="280" w:lineRule="exact"/>
        <w:ind w:firstLineChars="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投资金额</w:t>
      </w:r>
      <w:r>
        <w:rPr>
          <w:rFonts w:hint="eastAsia" w:asciiTheme="minorEastAsia" w:hAnsiTheme="minorEastAsia" w:cstheme="minorEastAsia"/>
          <w:spacing w:val="10"/>
          <w:sz w:val="21"/>
          <w:szCs w:val="21"/>
          <w:u w:val="single"/>
        </w:rPr>
        <w:t>：（大写）</w:t>
      </w:r>
      <w:r>
        <w:rPr>
          <w:rFonts w:hint="eastAsia" w:asciiTheme="minorEastAsia" w:hAnsiTheme="minorEastAsia" w:cstheme="minorEastAsia"/>
          <w:spacing w:val="10"/>
          <w:sz w:val="21"/>
          <w:szCs w:val="21"/>
        </w:rPr>
        <w:t>元，（小写）</w:t>
      </w:r>
      <w:r>
        <w:rPr>
          <w:rFonts w:hint="eastAsia" w:asciiTheme="minorEastAsia" w:hAnsiTheme="minorEastAsia" w:cstheme="minorEastAsia"/>
          <w:spacing w:val="10"/>
          <w:sz w:val="21"/>
          <w:szCs w:val="21"/>
          <w:u w:val="single"/>
        </w:rPr>
        <w:t xml:space="preserve">                     元</w:t>
      </w:r>
      <w:r>
        <w:rPr>
          <w:rFonts w:hint="eastAsia" w:asciiTheme="minorEastAsia" w:hAnsiTheme="minorEastAsia" w:cstheme="minorEastAsia"/>
          <w:spacing w:val="10"/>
          <w:sz w:val="21"/>
          <w:szCs w:val="21"/>
        </w:rPr>
        <w:t>。乙方授权指定账户名称：</w:t>
      </w:r>
      <w:r>
        <w:rPr>
          <w:rFonts w:hint="eastAsia" w:asciiTheme="minorEastAsia" w:hAnsiTheme="minorEastAsia" w:cstheme="minorEastAsia"/>
          <w:spacing w:val="10"/>
          <w:sz w:val="21"/>
          <w:szCs w:val="21"/>
          <w:u w:val="single"/>
        </w:rPr>
        <w:t>　　　　　　　　　　</w:t>
      </w:r>
      <w:r>
        <w:rPr>
          <w:rFonts w:hint="eastAsia" w:asciiTheme="minorEastAsia" w:hAnsiTheme="minorEastAsia" w:cstheme="minorEastAsia"/>
          <w:spacing w:val="10"/>
          <w:sz w:val="21"/>
          <w:szCs w:val="21"/>
        </w:rPr>
        <w:t>,账号</w:t>
      </w:r>
      <w:r>
        <w:rPr>
          <w:rFonts w:hint="eastAsia" w:asciiTheme="minorEastAsia" w:hAnsiTheme="minorEastAsia" w:cstheme="minorEastAsia"/>
          <w:spacing w:val="10"/>
          <w:sz w:val="21"/>
          <w:szCs w:val="21"/>
          <w:u w:val="single"/>
        </w:rPr>
        <w:t>　　　　　　　　　　</w:t>
      </w:r>
      <w:r>
        <w:rPr>
          <w:rFonts w:hint="eastAsia" w:asciiTheme="minorEastAsia" w:hAnsiTheme="minorEastAsia" w:cstheme="minorEastAsia"/>
          <w:spacing w:val="10"/>
          <w:sz w:val="21"/>
          <w:szCs w:val="21"/>
        </w:rPr>
        <w:t>。</w:t>
      </w:r>
    </w:p>
    <w:p>
      <w:pPr>
        <w:numPr>
          <w:ilvl w:val="0"/>
          <w:numId w:val="3"/>
        </w:numPr>
        <w:spacing w:beforeLines="0" w:afterLines="0" w:line="280" w:lineRule="exact"/>
        <w:ind w:firstLine="460" w:firstLineChars="200"/>
        <w:rPr>
          <w:rFonts w:hint="eastAsia" w:asciiTheme="minorEastAsia" w:hAnsiTheme="minorEastAsia" w:cstheme="minorEastAsia"/>
          <w:b w:val="0"/>
          <w:bCs w:val="0"/>
          <w:spacing w:val="10"/>
          <w:sz w:val="21"/>
          <w:szCs w:val="21"/>
        </w:rPr>
      </w:pPr>
      <w:r>
        <w:rPr>
          <w:rFonts w:hint="eastAsia" w:asciiTheme="minorEastAsia" w:hAnsiTheme="minorEastAsia" w:cstheme="minorEastAsia"/>
          <w:b w:val="0"/>
          <w:bCs w:val="0"/>
          <w:spacing w:val="10"/>
          <w:sz w:val="21"/>
          <w:szCs w:val="21"/>
        </w:rPr>
        <w:t>名词释义</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（1）认购期/募集期：是指银行确定的接受投资者认购本理财产品的起止期限。</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（2）理财存续期：是指理财产品成立至终止的期间。</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（3）名义到期日：是指在银行未对本理财产品提前终止的情况下本理财产品的到期日期。</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（4）实际到期日：是指银行实际开始停止计算本理财产品收益的日期。若本理财产品未被提前终止，则实际到期日即为名义到期日；若本理财产品被提前终止，则实际到期日为提前终止权行使日。</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（5）工作日：是指除国家法定节假日和休息日(休息日包括周六、周日)外的日期。</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（6）固定收益类理财产品：是指投资于存款、债券等债权类资产的比例不低于80%的理财产品。</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（7）权益类理财产品：是指投资于权益类资产的比例不低于80%的理财产品。</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（8）商品及金融衍生品类理财产品：是指投资于商品及金融衍生品的比例不低于80%的理财产品。</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（9）混合类理财产品：是指投资于债权类资产、权益类资产、商品及金融衍生品类资产且任一资产的投资比例未达到80%的理财产品。</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（10）公募理财产品：是指面向不特定社会公众公开发行的理财产品。</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（11）私募理财产品：是指面向合格投资者非公开发行的理财产品。</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（12）投资冷静期：私募理财产品的投资者自其签署《理财产品销售协议》的时点起的至少24小时为该投资者的投资冷静期。</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（13）授权指定账户：指投资者用于支付理财产品的认/申购投资资金，并用于接收理财产品的赎回/兑付款项的银行账户。</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（14）银行：指南京银行股份有限公司。</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（15）投资者：指购买南京银行发行的相关理财产品的符合相关法律法规及监管要求的个人或机构。</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lang w:val="en-US" w:eastAsia="zh-CN"/>
        </w:rPr>
      </w:pPr>
      <w:r>
        <w:rPr>
          <w:rFonts w:hint="eastAsia" w:asciiTheme="minorEastAsia" w:hAnsiTheme="minorEastAsia" w:cstheme="minorEastAsia"/>
          <w:spacing w:val="10"/>
          <w:sz w:val="21"/>
          <w:szCs w:val="21"/>
          <w:lang w:val="en-US" w:eastAsia="zh-CN"/>
        </w:rPr>
        <w:t>（16）理财销售文件/销售文件：指理财产品对应的</w:t>
      </w:r>
      <w:r>
        <w:rPr>
          <w:rFonts w:hint="eastAsia" w:asciiTheme="minorEastAsia" w:hAnsiTheme="minorEastAsia" w:cstheme="minorEastAsia"/>
          <w:spacing w:val="10"/>
          <w:kern w:val="2"/>
          <w:sz w:val="21"/>
          <w:szCs w:val="21"/>
        </w:rPr>
        <w:t>《理财产品销售协议书》、《理财产品说明书》、《理财产品风险揭示书》、《投资者权益须知》</w:t>
      </w:r>
      <w:r>
        <w:rPr>
          <w:rFonts w:hint="eastAsia" w:asciiTheme="minorEastAsia" w:hAnsiTheme="minorEastAsia" w:cstheme="minorEastAsia"/>
          <w:spacing w:val="10"/>
          <w:kern w:val="2"/>
          <w:sz w:val="21"/>
          <w:szCs w:val="21"/>
          <w:lang w:eastAsia="zh-CN"/>
        </w:rPr>
        <w:t>等有关法律文件，上述法律文件共同构成一份完整且不可分割的理财合同。</w:t>
      </w:r>
    </w:p>
    <w:p>
      <w:pPr>
        <w:numPr>
          <w:ilvl w:val="0"/>
          <w:numId w:val="3"/>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甲方的权利与义务：</w:t>
      </w:r>
    </w:p>
    <w:p>
      <w:pPr>
        <w:numPr>
          <w:ilvl w:val="0"/>
          <w:numId w:val="4"/>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甲方应当履行恪尽职守、勤勉尽责、诚实守信、有效管理的义务。</w:t>
      </w:r>
    </w:p>
    <w:p>
      <w:pPr>
        <w:numPr>
          <w:ilvl w:val="0"/>
          <w:numId w:val="4"/>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在本协议约定的投资范围和权限内，甲方拥有管理和运用理财资金的权利，并有权按照对应期次《理财产品说明书》的约定收取相应费用。</w:t>
      </w:r>
    </w:p>
    <w:p>
      <w:pPr>
        <w:numPr>
          <w:ilvl w:val="0"/>
          <w:numId w:val="4"/>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甲方作为理财产品管理人，全权负责理财产品资金的运用和理财产品资产的管理，有权参加与理财产品所投资资产相关的所有会议，并对相关事项进行表决；甲方有权并代表乙方利益，按照法律法规和监管部门相关规定对理财产品投资产生的风险资产进行多种方式的处置，包括但不限于转让、重组、债转股、资产证券化、催收、抵债资产收取与处置、破产重整等。</w:t>
      </w:r>
    </w:p>
    <w:p>
      <w:pPr>
        <w:numPr>
          <w:ilvl w:val="0"/>
          <w:numId w:val="4"/>
        </w:numPr>
        <w:spacing w:beforeLines="0" w:afterLines="0" w:line="280" w:lineRule="exact"/>
        <w:ind w:firstLine="462" w:firstLineChars="200"/>
        <w:rPr>
          <w:rFonts w:hint="eastAsia" w:asciiTheme="minorEastAsia" w:hAnsiTheme="minorEastAsia" w:cstheme="minorEastAsia"/>
          <w:b/>
          <w:bCs/>
          <w:spacing w:val="10"/>
          <w:sz w:val="21"/>
          <w:szCs w:val="21"/>
        </w:rPr>
      </w:pPr>
      <w:r>
        <w:rPr>
          <w:rFonts w:hint="eastAsia" w:asciiTheme="minorEastAsia" w:hAnsiTheme="minorEastAsia" w:cstheme="minorEastAsia"/>
          <w:b/>
          <w:bCs/>
          <w:spacing w:val="10"/>
          <w:sz w:val="21"/>
          <w:szCs w:val="21"/>
        </w:rPr>
        <w:t>甲方有权按照法律法规和监管要求，报送乙方身份信息及其持有理财产品信息；在甲方办理与理财产品相关事项所需的情况下，乙方同意并授权甲方向甲方集团成员、服务机构及其他甲方认为必要的业务合作机构提供甲方获取的乙方信息。甲方应向上述被披露方明确其保护乙方信息的职责并要求其承担相应保密义务。</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5.乙方的权利与义务：</w:t>
      </w:r>
    </w:p>
    <w:p>
      <w:pPr>
        <w:numPr>
          <w:ilvl w:val="-1"/>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lang w:eastAsia="zh-CN"/>
        </w:rPr>
        <w:t>（</w:t>
      </w:r>
      <w:r>
        <w:rPr>
          <w:rFonts w:hint="eastAsia" w:asciiTheme="minorEastAsia" w:hAnsiTheme="minorEastAsia" w:cstheme="minorEastAsia"/>
          <w:spacing w:val="10"/>
          <w:sz w:val="21"/>
          <w:szCs w:val="21"/>
          <w:lang w:val="en-US" w:eastAsia="zh-CN"/>
        </w:rPr>
        <w:t>1</w:t>
      </w:r>
      <w:r>
        <w:rPr>
          <w:rFonts w:hint="eastAsia" w:asciiTheme="minorEastAsia" w:hAnsiTheme="minorEastAsia" w:cstheme="minorEastAsia"/>
          <w:spacing w:val="10"/>
          <w:sz w:val="21"/>
          <w:szCs w:val="21"/>
          <w:lang w:eastAsia="zh-CN"/>
        </w:rPr>
        <w:t>）</w:t>
      </w:r>
      <w:r>
        <w:rPr>
          <w:rFonts w:hint="eastAsia" w:asciiTheme="minorEastAsia" w:hAnsiTheme="minorEastAsia" w:cstheme="minorEastAsia"/>
          <w:spacing w:val="10"/>
          <w:sz w:val="21"/>
          <w:szCs w:val="21"/>
        </w:rPr>
        <w:t>乙方应当保证其理财资金为合法拥有的自有资金，不存在涉嫌洗钱、恶意逃避税收征收管理等违法违规行为。乙方不得使用贷款、发行债券等方式筹集的非自有资金购买理财产品。乙方将其自有资金用作本理财协议条款项下理财交易并不违反相关法律、法规、规章、规定、法院裁定或命令的要求，乙方能够自行识别、判断和承担理财产品的相关风险；不存在法律法规、有权机关或主管机关禁止或限制购买理财产品的各种情形。乙方按其投资金额在本理财协议中享有相应的权利，承担相应的义务和风险。</w:t>
      </w:r>
    </w:p>
    <w:p>
      <w:pPr>
        <w:numPr>
          <w:ilvl w:val="-1"/>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lang w:eastAsia="zh-CN"/>
        </w:rPr>
        <w:t>（</w:t>
      </w:r>
      <w:r>
        <w:rPr>
          <w:rFonts w:hint="eastAsia" w:asciiTheme="minorEastAsia" w:hAnsiTheme="minorEastAsia" w:cstheme="minorEastAsia"/>
          <w:spacing w:val="10"/>
          <w:sz w:val="21"/>
          <w:szCs w:val="21"/>
          <w:lang w:val="en-US" w:eastAsia="zh-CN"/>
        </w:rPr>
        <w:t>2</w:t>
      </w:r>
      <w:r>
        <w:rPr>
          <w:rFonts w:hint="eastAsia" w:asciiTheme="minorEastAsia" w:hAnsiTheme="minorEastAsia" w:cstheme="minorEastAsia"/>
          <w:spacing w:val="10"/>
          <w:sz w:val="21"/>
          <w:szCs w:val="21"/>
          <w:lang w:eastAsia="zh-CN"/>
        </w:rPr>
        <w:t>）</w:t>
      </w:r>
      <w:r>
        <w:rPr>
          <w:rFonts w:hint="eastAsia" w:asciiTheme="minorEastAsia" w:hAnsiTheme="minorEastAsia" w:cstheme="minorEastAsia"/>
          <w:spacing w:val="10"/>
          <w:sz w:val="21"/>
          <w:szCs w:val="21"/>
        </w:rPr>
        <w:t>乙方保证其已知悉甲方并非乙方的投资顾问或其他顾问，乙方并未依赖于甲方和/或甲方的雇员、代理人或关联机构对其所作的任何陈述(不论口头或书面)而决定投资于理财产品。</w:t>
      </w:r>
    </w:p>
    <w:p>
      <w:pPr>
        <w:numPr>
          <w:ilvl w:val="-1"/>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lang w:eastAsia="zh-CN"/>
        </w:rPr>
        <w:t>（</w:t>
      </w:r>
      <w:r>
        <w:rPr>
          <w:rFonts w:hint="eastAsia" w:asciiTheme="minorEastAsia" w:hAnsiTheme="minorEastAsia" w:cstheme="minorEastAsia"/>
          <w:spacing w:val="10"/>
          <w:sz w:val="21"/>
          <w:szCs w:val="21"/>
          <w:lang w:val="en-US" w:eastAsia="zh-CN"/>
        </w:rPr>
        <w:t>3</w:t>
      </w:r>
      <w:r>
        <w:rPr>
          <w:rFonts w:hint="eastAsia" w:asciiTheme="minorEastAsia" w:hAnsiTheme="minorEastAsia" w:cstheme="minorEastAsia"/>
          <w:spacing w:val="10"/>
          <w:sz w:val="21"/>
          <w:szCs w:val="21"/>
          <w:lang w:eastAsia="zh-CN"/>
        </w:rPr>
        <w:t>）</w:t>
      </w:r>
      <w:r>
        <w:rPr>
          <w:rFonts w:hint="eastAsia" w:asciiTheme="minorEastAsia" w:hAnsiTheme="minorEastAsia" w:cstheme="minorEastAsia"/>
          <w:spacing w:val="10"/>
          <w:sz w:val="21"/>
          <w:szCs w:val="21"/>
        </w:rPr>
        <w:t>乙方保证其有权利签署本协议和履行本协议所述的义务，并已为此采取一切所需的行为。</w:t>
      </w:r>
    </w:p>
    <w:p>
      <w:pPr>
        <w:numPr>
          <w:ilvl w:val="-1"/>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lang w:eastAsia="zh-CN"/>
        </w:rPr>
        <w:t>（</w:t>
      </w:r>
      <w:r>
        <w:rPr>
          <w:rFonts w:hint="eastAsia" w:asciiTheme="minorEastAsia" w:hAnsiTheme="minorEastAsia" w:cstheme="minorEastAsia"/>
          <w:spacing w:val="10"/>
          <w:sz w:val="21"/>
          <w:szCs w:val="21"/>
          <w:lang w:val="en-US" w:eastAsia="zh-CN"/>
        </w:rPr>
        <w:t>4</w:t>
      </w:r>
      <w:r>
        <w:rPr>
          <w:rFonts w:hint="eastAsia" w:asciiTheme="minorEastAsia" w:hAnsiTheme="minorEastAsia" w:cstheme="minorEastAsia"/>
          <w:spacing w:val="10"/>
          <w:sz w:val="21"/>
          <w:szCs w:val="21"/>
          <w:lang w:eastAsia="zh-CN"/>
        </w:rPr>
        <w:t>）</w:t>
      </w:r>
      <w:r>
        <w:rPr>
          <w:rFonts w:hint="eastAsia" w:asciiTheme="minorEastAsia" w:hAnsiTheme="minorEastAsia" w:cstheme="minorEastAsia"/>
          <w:spacing w:val="10"/>
          <w:sz w:val="21"/>
          <w:szCs w:val="21"/>
        </w:rPr>
        <w:t>乙方保证执行及交付任何文件或履行本协议项下的义务，均不会违反(i)任何适用法律、法规、法令或法律限制，任何法院或其他政府机关所作出的适用于乙方或乙方任何资产的指令或判决；(ii)对乙方或乙方任何资产有约束力的任何重大协议条款。乙方应在签署本协议的同时在授权指定账户存入足额的资金以确保账户余额大于或等于认/申购金额。</w:t>
      </w:r>
    </w:p>
    <w:p>
      <w:pPr>
        <w:pStyle w:val="4"/>
        <w:numPr>
          <w:ilvl w:val="0"/>
          <w:numId w:val="5"/>
        </w:numPr>
        <w:spacing w:beforeLines="0" w:afterLines="0" w:line="280" w:lineRule="exact"/>
        <w:ind w:firstLine="340"/>
        <w:rPr>
          <w:rFonts w:hint="eastAsia" w:asciiTheme="minorEastAsia" w:hAnsiTheme="minorEastAsia" w:cstheme="minorEastAsia"/>
          <w:b/>
          <w:bCs/>
          <w:spacing w:val="10"/>
          <w:sz w:val="21"/>
          <w:szCs w:val="21"/>
          <w:highlight w:val="none"/>
        </w:rPr>
      </w:pPr>
      <w:r>
        <w:rPr>
          <w:rFonts w:hint="eastAsia" w:asciiTheme="minorEastAsia" w:hAnsiTheme="minorEastAsia" w:cstheme="minorEastAsia"/>
          <w:b/>
          <w:bCs/>
          <w:spacing w:val="10"/>
          <w:sz w:val="21"/>
          <w:szCs w:val="21"/>
        </w:rPr>
        <w:t>本协议终止前，乙方应保证其“授权指定账户”处于正常状态，乙方授权指定账户发生资金余额不足、挂失、换卡、长期不动户等特殊情况或被有权机关采取冻结、扣划、强制措施等变更或异常情形，导致认/申购不成功，以及</w:t>
      </w:r>
      <w:r>
        <w:rPr>
          <w:rFonts w:hint="eastAsia" w:asciiTheme="minorEastAsia" w:hAnsiTheme="minorEastAsia" w:cstheme="minorEastAsia"/>
          <w:b/>
          <w:bCs/>
          <w:spacing w:val="10"/>
          <w:sz w:val="21"/>
          <w:szCs w:val="21"/>
          <w:highlight w:val="none"/>
        </w:rPr>
        <w:t>在本理财产品存续期内如因有权机关依法采取强制措施导致理财份额、理财账户、授权指定账户被冻结或扣划的，甲方对此不承担任何责任。</w:t>
      </w:r>
    </w:p>
    <w:p>
      <w:pPr>
        <w:pStyle w:val="4"/>
        <w:numPr>
          <w:ilvl w:val="0"/>
          <w:numId w:val="5"/>
        </w:numPr>
        <w:spacing w:beforeLines="0" w:afterLines="0" w:line="280" w:lineRule="exact"/>
        <w:ind w:firstLine="340"/>
        <w:rPr>
          <w:rFonts w:hint="eastAsia" w:asciiTheme="minorEastAsia" w:hAnsiTheme="minorEastAsia" w:cstheme="minorEastAsia"/>
          <w:b/>
          <w:bCs/>
          <w:spacing w:val="10"/>
          <w:sz w:val="21"/>
          <w:szCs w:val="21"/>
          <w:highlight w:val="none"/>
        </w:rPr>
      </w:pPr>
      <w:r>
        <w:rPr>
          <w:rFonts w:hint="eastAsia" w:asciiTheme="minorEastAsia" w:hAnsiTheme="minorEastAsia" w:cstheme="minorEastAsia"/>
          <w:b/>
          <w:bCs/>
          <w:spacing w:val="10"/>
          <w:sz w:val="21"/>
          <w:szCs w:val="21"/>
          <w:highlight w:val="none"/>
        </w:rPr>
        <w:t>在本理财产品存续期内，如有权机关要求甲方配合对乙方理财份额、理财账户、授权指定账户进行查封、冻结或扣划的，甲方有权根据实际情况采取如下措施，包括但不限于全额或部分终止理财交易、停止向投资者支付投资本金及投资收益。由于提前终止交易而产生的一切损失及费用将由乙方承担，甲方有权将此损失及费用从乙方的授权指定账户、理财本金及收益中扣除。甲方对上述后果不承担任何责任。</w:t>
      </w:r>
    </w:p>
    <w:p>
      <w:pPr>
        <w:numPr>
          <w:ilvl w:val="0"/>
          <w:numId w:val="5"/>
        </w:numPr>
        <w:spacing w:beforeLines="0" w:afterLines="0" w:line="280" w:lineRule="exact"/>
        <w:ind w:firstLine="462" w:firstLineChars="200"/>
        <w:rPr>
          <w:rFonts w:hint="eastAsia" w:asciiTheme="minorEastAsia" w:hAnsiTheme="minorEastAsia" w:cstheme="minorEastAsia"/>
          <w:b/>
          <w:bCs/>
          <w:spacing w:val="10"/>
          <w:sz w:val="21"/>
          <w:szCs w:val="21"/>
        </w:rPr>
      </w:pPr>
      <w:r>
        <w:rPr>
          <w:rFonts w:hint="eastAsia" w:asciiTheme="minorEastAsia" w:hAnsiTheme="minorEastAsia" w:cstheme="minorEastAsia"/>
          <w:b/>
          <w:bCs/>
          <w:spacing w:val="10"/>
          <w:sz w:val="21"/>
          <w:szCs w:val="21"/>
        </w:rPr>
        <w:t>本协议终止前，乙方不得将授权指定账户销户。若发生因乙方注销授权指定账户造成理财产品无法正常兑付的，甲方不承担任何责任。</w:t>
      </w:r>
    </w:p>
    <w:p>
      <w:pPr>
        <w:numPr>
          <w:ilvl w:val="0"/>
          <w:numId w:val="5"/>
        </w:numPr>
        <w:spacing w:beforeLines="0" w:afterLines="0" w:line="280" w:lineRule="exact"/>
        <w:ind w:firstLine="462" w:firstLineChars="200"/>
        <w:rPr>
          <w:rFonts w:hint="eastAsia" w:asciiTheme="minorEastAsia" w:hAnsiTheme="minorEastAsia" w:cstheme="minorEastAsia"/>
          <w:b/>
          <w:bCs/>
          <w:spacing w:val="10"/>
          <w:sz w:val="21"/>
          <w:szCs w:val="21"/>
        </w:rPr>
      </w:pPr>
      <w:r>
        <w:rPr>
          <w:rFonts w:hint="eastAsia" w:asciiTheme="minorEastAsia" w:hAnsiTheme="minorEastAsia" w:cstheme="minorEastAsia"/>
          <w:b/>
          <w:bCs/>
          <w:spacing w:val="10"/>
          <w:sz w:val="21"/>
          <w:szCs w:val="21"/>
        </w:rPr>
        <w:t>乙方应确保其提供的所有资料真实、完整、合法、有效，如果有任何变更，乙方应及时通知甲方并办理变更手续。如因乙方未及时通知甲方并办理相应的变更手续，由此导致的一切后果由乙方自行承担，甲方对此不承担任何责任。</w:t>
      </w:r>
    </w:p>
    <w:p>
      <w:pPr>
        <w:numPr>
          <w:ilvl w:val="0"/>
          <w:numId w:val="5"/>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highlight w:val="none"/>
          <w:lang w:eastAsia="zh-CN"/>
        </w:rPr>
        <w:t>乙方</w:t>
      </w:r>
      <w:r>
        <w:rPr>
          <w:rFonts w:hint="eastAsia" w:asciiTheme="minorEastAsia" w:hAnsiTheme="minorEastAsia" w:cstheme="minorEastAsia"/>
          <w:spacing w:val="10"/>
          <w:sz w:val="21"/>
          <w:szCs w:val="21"/>
          <w:highlight w:val="none"/>
        </w:rPr>
        <w:t>进行投资时，应严格遵守反洗钱相关法规的规定，切实履行反洗钱及反恐怖融资义务</w:t>
      </w:r>
      <w:r>
        <w:rPr>
          <w:rFonts w:hint="eastAsia" w:asciiTheme="minorEastAsia" w:hAnsiTheme="minorEastAsia" w:cstheme="minorEastAsia"/>
          <w:spacing w:val="10"/>
          <w:sz w:val="21"/>
          <w:szCs w:val="21"/>
          <w:highlight w:val="none"/>
          <w:lang w:eastAsia="zh-CN"/>
        </w:rPr>
        <w:t>。</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6.产品认购、赎回</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（1）理财产品认/申购：参照《投资者权益须知》约定。</w:t>
      </w:r>
    </w:p>
    <w:p>
      <w:pPr>
        <w:spacing w:beforeLines="0" w:afterLines="0" w:line="280" w:lineRule="exact"/>
        <w:ind w:firstLine="460" w:firstLineChars="200"/>
        <w:rPr>
          <w:rFonts w:hint="eastAsia" w:asciiTheme="minorEastAsia" w:hAnsiTheme="minorEastAsia" w:cstheme="minorEastAsia"/>
          <w:spacing w:val="10"/>
          <w:sz w:val="21"/>
          <w:szCs w:val="21"/>
          <w:highlight w:val="yellow"/>
        </w:rPr>
      </w:pPr>
      <w:r>
        <w:rPr>
          <w:rFonts w:hint="eastAsia" w:asciiTheme="minorEastAsia" w:hAnsiTheme="minorEastAsia" w:cstheme="minorEastAsia"/>
          <w:spacing w:val="10"/>
          <w:sz w:val="21"/>
          <w:szCs w:val="21"/>
        </w:rPr>
        <w:t>（2）理财产品认/申购撤销申请：乙方在理财产品认购期/募集期/开放期/投资冷静期（私募产品适用）内，可以撤销理财产品相应的认/申购申请。</w:t>
      </w:r>
    </w:p>
    <w:p>
      <w:pPr>
        <w:spacing w:beforeLines="0" w:afterLines="0" w:line="280" w:lineRule="exact"/>
        <w:ind w:firstLine="460" w:firstLineChars="200"/>
        <w:rPr>
          <w:rFonts w:hint="eastAsia" w:asciiTheme="minorEastAsia" w:hAnsiTheme="minorEastAsia" w:cstheme="minorEastAsia"/>
          <w:szCs w:val="21"/>
        </w:rPr>
      </w:pPr>
      <w:r>
        <w:rPr>
          <w:rFonts w:hint="eastAsia" w:asciiTheme="minorEastAsia" w:hAnsiTheme="minorEastAsia" w:cstheme="minorEastAsia"/>
          <w:spacing w:val="10"/>
          <w:sz w:val="21"/>
          <w:szCs w:val="21"/>
        </w:rPr>
        <w:t>（3）理财产品不成立：若在募集期结束日，本理财产品发行规模未能达到对应期次的《理财产品说明书》规定的要求，则本理财产品不成立，甲方将按对应期次的《理财产品说明书》约定条款向乙方进行公告，并将及时解除对乙方授权指定账户中认购资金的冻结。</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（4）理财产品投资品种、投资起点金额、收益支付方式：参照对应期次的《理财产品说明书》中的条款约定。</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5）理财产品赎回/到期兑付：在正常情况下，甲方将按照对应期次的《理财产品说明书》相关约定，将兑付款项划入乙方授权指定账户。如果发生特殊情形，造成本产品的基础资产无法及时、足额变现，甲方可以根据实际情况选择向乙方提前兑付、延迟兑付或者分次兑付，并及时根据法律法规的要求向乙方披露兑付方案。</w:t>
      </w:r>
    </w:p>
    <w:p>
      <w:pPr>
        <w:spacing w:beforeLines="0" w:afterLines="0" w:line="280" w:lineRule="exact"/>
        <w:ind w:firstLine="462" w:firstLineChars="200"/>
        <w:rPr>
          <w:rFonts w:hint="eastAsia" w:asciiTheme="minorEastAsia" w:hAnsiTheme="minorEastAsia" w:cstheme="minorEastAsia"/>
          <w:b/>
          <w:bCs/>
          <w:spacing w:val="10"/>
          <w:sz w:val="21"/>
          <w:szCs w:val="21"/>
        </w:rPr>
      </w:pPr>
      <w:r>
        <w:rPr>
          <w:rFonts w:hint="eastAsia" w:asciiTheme="minorEastAsia" w:hAnsiTheme="minorEastAsia" w:cstheme="minorEastAsia"/>
          <w:b/>
          <w:bCs/>
          <w:spacing w:val="10"/>
          <w:sz w:val="21"/>
          <w:szCs w:val="21"/>
        </w:rPr>
        <w:t>7.产品提前终止</w:t>
      </w:r>
    </w:p>
    <w:p>
      <w:pPr>
        <w:spacing w:beforeLines="0" w:afterLines="0" w:line="280" w:lineRule="exact"/>
        <w:ind w:firstLine="462" w:firstLineChars="200"/>
        <w:rPr>
          <w:rFonts w:hint="eastAsia" w:asciiTheme="minorEastAsia" w:hAnsiTheme="minorEastAsia" w:cstheme="minorEastAsia"/>
          <w:b/>
          <w:bCs/>
          <w:spacing w:val="10"/>
          <w:sz w:val="21"/>
          <w:szCs w:val="21"/>
        </w:rPr>
      </w:pPr>
      <w:r>
        <w:rPr>
          <w:rFonts w:hint="eastAsia" w:asciiTheme="minorEastAsia" w:hAnsiTheme="minorEastAsia" w:cstheme="minorEastAsia"/>
          <w:b/>
          <w:bCs/>
          <w:spacing w:val="10"/>
          <w:sz w:val="21"/>
          <w:szCs w:val="21"/>
        </w:rPr>
        <w:t>在理财产品存续期内，如发生以下事项时，银行可对本理财产品行使全部提前终止权（如银行提前终止本理财产品，银行将于该理财产品提前终止日前3个工作日在银行网站（www.njcb.com.cn）上发布提前终止公告）：</w:t>
      </w:r>
    </w:p>
    <w:p>
      <w:pPr>
        <w:spacing w:beforeLines="0" w:afterLines="0" w:line="280" w:lineRule="exact"/>
        <w:ind w:firstLine="462" w:firstLineChars="200"/>
        <w:rPr>
          <w:rFonts w:hint="eastAsia" w:asciiTheme="minorEastAsia" w:hAnsiTheme="minorEastAsia" w:cstheme="minorEastAsia"/>
          <w:b/>
          <w:bCs/>
          <w:spacing w:val="10"/>
          <w:sz w:val="21"/>
          <w:szCs w:val="21"/>
        </w:rPr>
      </w:pPr>
      <w:r>
        <w:rPr>
          <w:rFonts w:hint="eastAsia" w:asciiTheme="minorEastAsia" w:hAnsiTheme="minorEastAsia" w:cstheme="minorEastAsia"/>
          <w:b/>
          <w:bCs/>
          <w:spacing w:val="10"/>
          <w:sz w:val="21"/>
          <w:szCs w:val="21"/>
        </w:rPr>
        <w:t>（1）因本理财产品资产运作模式、投资资产等与法律法规、规章的规定或者监管部门的要求等存在冲突导致理财产品必须提前终止的；</w:t>
      </w:r>
    </w:p>
    <w:p>
      <w:pPr>
        <w:spacing w:beforeLines="0" w:afterLines="0" w:line="280" w:lineRule="exact"/>
        <w:ind w:firstLine="462" w:firstLineChars="200"/>
        <w:rPr>
          <w:rFonts w:hint="eastAsia" w:asciiTheme="minorEastAsia" w:hAnsiTheme="minorEastAsia" w:cstheme="minorEastAsia"/>
          <w:b/>
          <w:bCs/>
          <w:spacing w:val="10"/>
          <w:sz w:val="21"/>
          <w:szCs w:val="21"/>
        </w:rPr>
      </w:pPr>
      <w:r>
        <w:rPr>
          <w:rFonts w:hint="eastAsia" w:asciiTheme="minorEastAsia" w:hAnsiTheme="minorEastAsia" w:cstheme="minorEastAsia"/>
          <w:b/>
          <w:bCs/>
          <w:spacing w:val="10"/>
          <w:sz w:val="21"/>
          <w:szCs w:val="21"/>
        </w:rPr>
        <w:t>（2）国家有关法律、法规、规章、监管规定、政策的改变、紧急措施的出台、理财市场环境发生重大变化等导致理财产品必须提前终止的；</w:t>
      </w:r>
    </w:p>
    <w:p>
      <w:pPr>
        <w:spacing w:beforeLines="0" w:afterLines="0" w:line="280" w:lineRule="exact"/>
        <w:ind w:firstLine="462" w:firstLineChars="200"/>
        <w:rPr>
          <w:rFonts w:hint="eastAsia" w:asciiTheme="minorEastAsia" w:hAnsiTheme="minorEastAsia" w:cstheme="minorEastAsia"/>
          <w:b/>
          <w:bCs/>
          <w:spacing w:val="10"/>
          <w:sz w:val="21"/>
          <w:szCs w:val="21"/>
        </w:rPr>
      </w:pPr>
      <w:r>
        <w:rPr>
          <w:rFonts w:hint="eastAsia" w:asciiTheme="minorEastAsia" w:hAnsiTheme="minorEastAsia" w:cstheme="minorEastAsia"/>
          <w:b/>
          <w:bCs/>
          <w:spacing w:val="10"/>
          <w:sz w:val="21"/>
          <w:szCs w:val="21"/>
        </w:rPr>
        <w:t>（3）因地震、火灾、战争、罢工等不可抗力因素导致本理财产品必须提前终止的；.</w:t>
      </w:r>
    </w:p>
    <w:p>
      <w:pPr>
        <w:spacing w:beforeLines="0" w:afterLines="0" w:line="280" w:lineRule="exact"/>
        <w:ind w:firstLine="462" w:firstLineChars="200"/>
        <w:rPr>
          <w:rFonts w:hint="eastAsia" w:asciiTheme="minorEastAsia" w:hAnsiTheme="minorEastAsia" w:cstheme="minorEastAsia"/>
          <w:b/>
          <w:bCs/>
          <w:spacing w:val="10"/>
          <w:sz w:val="21"/>
          <w:szCs w:val="21"/>
        </w:rPr>
      </w:pPr>
      <w:r>
        <w:rPr>
          <w:rFonts w:hint="eastAsia" w:asciiTheme="minorEastAsia" w:hAnsiTheme="minorEastAsia" w:cstheme="minorEastAsia"/>
          <w:b/>
          <w:bCs/>
          <w:spacing w:val="10"/>
          <w:sz w:val="21"/>
          <w:szCs w:val="21"/>
        </w:rPr>
        <w:t>（4）银行合理认为应该提前终止本理财产品的其他情况。</w:t>
      </w:r>
    </w:p>
    <w:p>
      <w:pPr>
        <w:spacing w:beforeLines="0" w:afterLines="0" w:line="280" w:lineRule="exact"/>
        <w:ind w:firstLine="462" w:firstLineChars="200"/>
        <w:rPr>
          <w:rFonts w:hint="eastAsia" w:asciiTheme="minorEastAsia" w:hAnsiTheme="minorEastAsia" w:cstheme="minorEastAsia"/>
          <w:b/>
          <w:bCs/>
          <w:spacing w:val="10"/>
          <w:sz w:val="21"/>
          <w:szCs w:val="21"/>
        </w:rPr>
      </w:pPr>
      <w:r>
        <w:rPr>
          <w:rFonts w:hint="eastAsia" w:asciiTheme="minorEastAsia" w:hAnsiTheme="minorEastAsia" w:cstheme="minorEastAsia"/>
          <w:b/>
          <w:bCs/>
          <w:spacing w:val="10"/>
          <w:sz w:val="21"/>
          <w:szCs w:val="21"/>
        </w:rPr>
        <w:t>在提前终止的情况项下，银行应于提前终止日后[五个工作日内]将理财产品清算变现并将相应的资金划转至投资者授权指定账户。如提前终止项下，本产品的基础资产无法及时、足额变现，银行可以根据实际情况选择向投资者提前兑付、延迟兑付或者分次兑付，并向投资者进行披露说明。</w:t>
      </w:r>
    </w:p>
    <w:p>
      <w:pPr>
        <w:spacing w:beforeLines="0" w:afterLines="0" w:line="280" w:lineRule="exact"/>
        <w:ind w:firstLine="462" w:firstLineChars="200"/>
        <w:rPr>
          <w:rFonts w:hint="eastAsia" w:asciiTheme="minorEastAsia" w:hAnsiTheme="minorEastAsia" w:cstheme="minorEastAsia"/>
          <w:b/>
          <w:bCs/>
          <w:spacing w:val="10"/>
          <w:sz w:val="21"/>
          <w:szCs w:val="21"/>
        </w:rPr>
      </w:pPr>
      <w:r>
        <w:rPr>
          <w:rFonts w:hint="eastAsia" w:asciiTheme="minorEastAsia" w:hAnsiTheme="minorEastAsia" w:cstheme="minorEastAsia"/>
          <w:b/>
          <w:bCs/>
          <w:spacing w:val="10"/>
          <w:sz w:val="21"/>
          <w:szCs w:val="21"/>
        </w:rPr>
        <w:t>甲方根据相关条款提前终止本理财产品或理财产品到期并兑付完毕后，本协议自动终止。</w:t>
      </w:r>
    </w:p>
    <w:p>
      <w:pPr>
        <w:spacing w:beforeLines="0" w:afterLines="0" w:line="280" w:lineRule="exact"/>
        <w:ind w:firstLine="460" w:firstLineChars="200"/>
        <w:rPr>
          <w:rFonts w:hint="eastAsia" w:asciiTheme="minorEastAsia" w:hAnsiTheme="minorEastAsia" w:cstheme="minorEastAsia"/>
          <w:b/>
          <w:bCs/>
          <w:spacing w:val="10"/>
          <w:sz w:val="21"/>
          <w:szCs w:val="21"/>
        </w:rPr>
      </w:pPr>
      <w:r>
        <w:rPr>
          <w:rFonts w:hint="eastAsia" w:asciiTheme="minorEastAsia" w:hAnsiTheme="minorEastAsia" w:cstheme="minorEastAsia"/>
          <w:spacing w:val="10"/>
          <w:sz w:val="21"/>
          <w:szCs w:val="21"/>
        </w:rPr>
        <w:t>8.</w:t>
      </w:r>
      <w:r>
        <w:rPr>
          <w:rFonts w:hint="eastAsia" w:asciiTheme="minorEastAsia" w:hAnsiTheme="minorEastAsia" w:cstheme="minorEastAsia"/>
          <w:b/>
          <w:bCs/>
          <w:spacing w:val="10"/>
          <w:sz w:val="21"/>
          <w:szCs w:val="21"/>
        </w:rPr>
        <w:t>特别提示</w:t>
      </w:r>
    </w:p>
    <w:p>
      <w:pPr>
        <w:spacing w:beforeLines="0" w:afterLines="0" w:line="280" w:lineRule="exact"/>
        <w:ind w:firstLine="462" w:firstLineChars="200"/>
        <w:rPr>
          <w:rFonts w:hint="eastAsia" w:asciiTheme="minorEastAsia" w:hAnsiTheme="minorEastAsia" w:cstheme="minorEastAsia"/>
          <w:b/>
          <w:bCs/>
          <w:spacing w:val="10"/>
          <w:sz w:val="21"/>
          <w:szCs w:val="21"/>
        </w:rPr>
      </w:pPr>
      <w:r>
        <w:rPr>
          <w:rFonts w:hint="eastAsia" w:asciiTheme="minorEastAsia" w:hAnsiTheme="minorEastAsia" w:cstheme="minorEastAsia"/>
          <w:b/>
          <w:bCs/>
          <w:spacing w:val="10"/>
          <w:sz w:val="21"/>
          <w:szCs w:val="21"/>
        </w:rPr>
        <w:t>（1）在本产品存续期内，如因国家法律法规、监管规定、市场情况等发生变化，或是出于维护本产品正常运营的需要，甲方有权对本产品协议书、《理财产品说明书》、《理财产品风险揭示书》和《投资者权益须知》等相关销售文件进行修订，包括但不限于对理财产品投资范围、投资品种或者投资比例以及收费项目、条件、标准和方式进行调整，并根据销售文件及监管要求等进行信息披露。乙方有权不接受该变更，并可根据信息披露的内容在甲方指定的赎回期限内向甲方申请赎回。乙方未选择赎回本产品，视为已理解并接受修订后的《理财产品销售协议书》、《理财产品说明书》、《理财产品风险揭示书》、《投资者权益须知》等相关销售文件。</w:t>
      </w:r>
    </w:p>
    <w:p>
      <w:pPr>
        <w:spacing w:beforeLines="0" w:afterLines="0" w:line="280" w:lineRule="exact"/>
        <w:ind w:firstLine="462" w:firstLineChars="200"/>
        <w:rPr>
          <w:rFonts w:hint="eastAsia" w:asciiTheme="minorEastAsia" w:hAnsiTheme="minorEastAsia" w:cstheme="minorEastAsia"/>
          <w:b/>
          <w:bCs/>
          <w:spacing w:val="10"/>
          <w:sz w:val="21"/>
          <w:szCs w:val="21"/>
        </w:rPr>
      </w:pPr>
      <w:r>
        <w:rPr>
          <w:rFonts w:hint="eastAsia" w:asciiTheme="minorEastAsia" w:hAnsiTheme="minorEastAsia" w:cstheme="minorEastAsia"/>
          <w:b/>
          <w:bCs/>
          <w:spacing w:val="10"/>
          <w:sz w:val="21"/>
          <w:szCs w:val="21"/>
        </w:rPr>
        <w:t>（2）免责条款</w:t>
      </w:r>
    </w:p>
    <w:p>
      <w:pPr>
        <w:spacing w:beforeLines="0" w:afterLines="0" w:line="280" w:lineRule="exact"/>
        <w:ind w:firstLine="462" w:firstLineChars="200"/>
        <w:rPr>
          <w:rFonts w:hint="eastAsia" w:asciiTheme="minorEastAsia" w:hAnsiTheme="minorEastAsia" w:cstheme="minorEastAsia"/>
          <w:bCs/>
          <w:spacing w:val="10"/>
          <w:sz w:val="21"/>
          <w:szCs w:val="21"/>
        </w:rPr>
      </w:pPr>
      <w:r>
        <w:rPr>
          <w:rFonts w:hint="eastAsia" w:asciiTheme="minorEastAsia" w:hAnsiTheme="minorEastAsia" w:cstheme="minorEastAsia"/>
          <w:b/>
          <w:bCs/>
          <w:spacing w:val="10"/>
          <w:sz w:val="21"/>
          <w:szCs w:val="21"/>
        </w:rPr>
        <w:t>（</w:t>
      </w:r>
      <w:r>
        <w:rPr>
          <w:rFonts w:hint="eastAsia" w:asciiTheme="minorEastAsia" w:hAnsiTheme="minorEastAsia" w:cstheme="minorEastAsia"/>
          <w:spacing w:val="10"/>
          <w:sz w:val="21"/>
          <w:szCs w:val="21"/>
        </w:rPr>
        <w:t>i</w:t>
      </w:r>
      <w:r>
        <w:rPr>
          <w:rFonts w:hint="eastAsia" w:asciiTheme="minorEastAsia" w:hAnsiTheme="minorEastAsia" w:cstheme="minorEastAsia"/>
          <w:b/>
          <w:bCs/>
          <w:spacing w:val="10"/>
          <w:sz w:val="21"/>
          <w:szCs w:val="21"/>
        </w:rPr>
        <w:t>）不合法。如果因遵守任何适用法律、法规、条例、规则、规定、裁决、命令或指令(不论是现行或将来实施的)而使得甲方履行协议项下的义务全部或部分成为不合法，甲方有权在任何时间向乙方发出通知提前终止受影响的理财产品，在此情况下甲方无需对乙方因提前终止投资而造成的任何损失承担任何责任。</w:t>
      </w:r>
    </w:p>
    <w:p>
      <w:pPr>
        <w:spacing w:beforeLines="0" w:afterLines="0" w:line="280" w:lineRule="exact"/>
        <w:ind w:firstLine="462" w:firstLineChars="200"/>
        <w:rPr>
          <w:rStyle w:val="13"/>
          <w:rFonts w:hint="eastAsia" w:asciiTheme="minorEastAsia" w:hAnsiTheme="minorEastAsia" w:cstheme="minorEastAsia"/>
          <w:b/>
          <w:bCs/>
        </w:rPr>
      </w:pPr>
      <w:r>
        <w:rPr>
          <w:rFonts w:hint="eastAsia" w:asciiTheme="minorEastAsia" w:hAnsiTheme="minorEastAsia" w:cstheme="minorEastAsia"/>
          <w:b/>
          <w:bCs/>
          <w:spacing w:val="10"/>
          <w:sz w:val="21"/>
          <w:szCs w:val="21"/>
        </w:rPr>
        <w:t>（ii）不可抗力。如果甲方认为由于自然灾害、罢工、内战、战争、军事行动、任何种类的恐怖活动、暴动、公众示威及／或抗议、法律变化、中国內地或全球金融外汇市场发生致使甲方无法进行货币兑换、划转等的异常变化；任何政府机关或其他机关的行为(不论是在法律上或是在事实上)、法律、法规、条例、规则、规定、裁决、命令或指令(包括国有化或对外限制、外汇管制)、诉讼或威胁；或任何其他非甲方所能控制的情况或原因，导致甲方未能履行或需延迟履行协议项下或与理财产品相关的支付义务，甲方无需对乙方承担任何责任。尤其是，当资金存放在甲方的任何分支机构、任何往来银行或代理人处而他们因上述原因被禁止向甲方付款或履行义务时，甲方亦无需向乙方负责。如果在一个支付日发生不可抗力(不论该不可抗力是否持续整个当日)，与理财产品有关的相关回报或赎回金额(视情形而定)的支付将由甲方按完全自行酌情决定顺延至紧临的下一个不存在不可抗力的营业日。乙方将不会因此而收到额外的收益或者补偿。</w:t>
      </w:r>
    </w:p>
    <w:p>
      <w:pPr>
        <w:spacing w:beforeLines="0" w:afterLines="0" w:line="280" w:lineRule="exact"/>
        <w:ind w:firstLine="462" w:firstLineChars="200"/>
        <w:rPr>
          <w:rFonts w:hint="eastAsia" w:asciiTheme="minorEastAsia" w:hAnsiTheme="minorEastAsia" w:cstheme="minorEastAsia"/>
          <w:spacing w:val="10"/>
          <w:sz w:val="21"/>
          <w:szCs w:val="21"/>
        </w:rPr>
      </w:pPr>
      <w:r>
        <w:rPr>
          <w:rFonts w:hint="eastAsia" w:asciiTheme="minorEastAsia" w:hAnsiTheme="minorEastAsia" w:cstheme="minorEastAsia"/>
          <w:b/>
          <w:bCs/>
          <w:spacing w:val="10"/>
          <w:sz w:val="21"/>
          <w:szCs w:val="21"/>
        </w:rPr>
        <w:t>（iii）如乙方违反本协议的约定或其交易资金被国家有权机关采取强制措施，或甲方发现或有合理理由怀疑乙方或其资金存在洗钱、恐怖融资、逃税等嫌疑，或存在其他违法违规违反本约定行为的，甲方有权提前终止本协议。由此造成乙方的任何损失，甲方不承担责任</w:t>
      </w:r>
      <w:r>
        <w:rPr>
          <w:rFonts w:hint="eastAsia" w:asciiTheme="minorEastAsia" w:hAnsiTheme="minorEastAsia" w:cstheme="minorEastAsia"/>
          <w:spacing w:val="10"/>
          <w:sz w:val="21"/>
          <w:szCs w:val="21"/>
        </w:rPr>
        <w:t>。</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（3）赔偿及责任限制</w:t>
      </w:r>
    </w:p>
    <w:p>
      <w:pPr>
        <w:spacing w:beforeLines="0" w:afterLines="0" w:line="280" w:lineRule="exact"/>
        <w:ind w:firstLine="462" w:firstLineChars="200"/>
        <w:rPr>
          <w:rFonts w:hint="eastAsia" w:asciiTheme="minorEastAsia" w:hAnsiTheme="minorEastAsia" w:cstheme="minorEastAsia"/>
          <w:b/>
          <w:bCs/>
          <w:spacing w:val="10"/>
          <w:sz w:val="21"/>
          <w:szCs w:val="21"/>
        </w:rPr>
      </w:pPr>
      <w:r>
        <w:rPr>
          <w:rFonts w:hint="eastAsia" w:asciiTheme="minorEastAsia" w:hAnsiTheme="minorEastAsia" w:cstheme="minorEastAsia"/>
          <w:b/>
          <w:bCs/>
          <w:spacing w:val="10"/>
          <w:sz w:val="21"/>
          <w:szCs w:val="21"/>
        </w:rPr>
        <w:t>乙方承诺，如果乙方在协议项下作出错误的陈述、保证或者违反任何陈述、保证或其他协议约定而导致甲方发生任何损失、责任、支出或者被提出主张、诉讼或要求，乙方应向甲方作出赔偿。本条所述的赔偿并不排除乙方依据相关法律或协议约定而应承担的任何其他责任。尽管乙方可能给予相反的指示，如果甲方因需遵守适用法律、法规或规则(包括但不限于各种支付体系的规则和规定)或遵守与其他银行、金融机构达成的业务交易协议而导致甲方延迟执行乙方指示或者未能执行乙方指示或使乙方产生任何责任、损失或支出，甲方无需负责。</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（4）抵销</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i）除享有法律规定的或其他的抵销权利外，甲方有权(但无义务)将乙方欠付甲方的任何债务(不论是否已经到期、无论是否因协议而导致，也不论债务的结算货币、付款地或登记处)与甲方欠付乙方的任何债务(不论是否已经到期、无论是否因协议而导致，也不论债务的结算货币、付款 地或登记处)进行抵销，而无须事先书面通知乙方或任何其他人员；</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ii）为了对不同货币进行抵销，甲方可在有关日期以甲方所选择适用的市场汇率将任何一方的债务予以兑换。如果债务尚未确定，则甲方可估计该债务的数额后进行抵销，但相关的一方当事人须在该债务得以确定时向另一方支付差额。</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（5）弃权</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（6）可分割性</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协议的任何条款在任何方面的非法、无效或不可强制执行，不影响协议的其他条款的合法性、有效性或可强制执行。</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（7）税收条款</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以对应期次的《理财产品说明书》约定的税务处理方式为准，如遇国家政策调整则相应执行最新政策。</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9.争议处理</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本协议在履行过程中发生争议，可以通过协商解决；协商不成的，任何一方有权向甲方所在地有管辖权的法院提起诉讼。</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10.协议的生效和终止</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（1）甲乙双方认可本协议可以纸质、电子数据等形式提交、订立或确认。</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（2）本协议书以纸质书面形式订立的，自甲方加盖公章或合同专用章</w:t>
      </w:r>
      <w:r>
        <w:rPr>
          <w:rFonts w:hint="eastAsia" w:asciiTheme="minorEastAsia" w:hAnsiTheme="minorEastAsia" w:cstheme="minorEastAsia"/>
          <w:spacing w:val="10"/>
          <w:sz w:val="21"/>
          <w:szCs w:val="21"/>
          <w:lang w:val="en-US" w:eastAsia="zh-CN"/>
        </w:rPr>
        <w:t>,</w:t>
      </w:r>
      <w:r>
        <w:rPr>
          <w:rFonts w:hint="eastAsia" w:asciiTheme="minorEastAsia" w:hAnsiTheme="minorEastAsia" w:cstheme="minorEastAsia"/>
          <w:spacing w:val="10"/>
          <w:sz w:val="21"/>
          <w:szCs w:val="21"/>
        </w:rPr>
        <w:t>乙</w:t>
      </w:r>
      <w:r>
        <w:rPr>
          <w:rFonts w:hint="eastAsia" w:asciiTheme="minorEastAsia" w:hAnsiTheme="minorEastAsia" w:cstheme="minorEastAsia"/>
          <w:spacing w:val="10"/>
          <w:sz w:val="21"/>
          <w:szCs w:val="21"/>
          <w:lang w:eastAsia="zh-CN"/>
        </w:rPr>
        <w:t>方加盖公章</w:t>
      </w:r>
      <w:r>
        <w:rPr>
          <w:rFonts w:hint="eastAsia" w:asciiTheme="minorEastAsia" w:hAnsiTheme="minorEastAsia" w:cstheme="minorEastAsia"/>
          <w:spacing w:val="10"/>
          <w:sz w:val="21"/>
          <w:szCs w:val="21"/>
        </w:rPr>
        <w:t>后生效。协议一式两份，甲乙双方各执一份，具有同等法律效力。</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3）本协议书以数据电文形式订立的，乙方在甲方提供的电子银行（包括但不限于网上银行、手机银行或监管机构认可的其他销售渠道）点击接受本协议，即表示乙方已阅读本协议所有条款，并对本协议条款的含义及相应的法律后果已全部知晓并充分理解，同意接受本协议约束。本协议自乙方点击确认且甲方通过电子银行提示交易成功之时生效。</w:t>
      </w:r>
      <w:r>
        <w:rPr>
          <w:rFonts w:hint="eastAsia" w:asciiTheme="minorEastAsia" w:hAnsiTheme="minorEastAsia" w:cstheme="minorEastAsia"/>
          <w:spacing w:val="10"/>
          <w:sz w:val="21"/>
          <w:szCs w:val="21"/>
          <w:lang w:val="en-US" w:eastAsia="zh-CN"/>
        </w:rPr>
        <w:t>交易成功仅指认/申购申请提交成功，认/申购是否成功以甲方另行提供的确认为准。</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甲方电子银行渠道所生成和保留记载的相关电子数据及交易记录以及甲方制作或保留的相关电子及纸质单据、凭证、记录等相关资料,构成有效证明甲乙双方之间权利义务关系的确定证据，乙方无条件认可电子数据的有效性和证据效力。</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（4）甲乙双方在本协议及对应期次的《理财产品说明书》项下权利义务履行完毕之日，本协议自动终止。</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11.乙方声明：</w:t>
      </w:r>
    </w:p>
    <w:p>
      <w:pPr>
        <w:spacing w:beforeLines="0" w:afterLines="0" w:line="280" w:lineRule="exact"/>
        <w:ind w:firstLine="462" w:firstLineChars="200"/>
        <w:rPr>
          <w:rFonts w:hint="eastAsia" w:asciiTheme="minorEastAsia" w:hAnsiTheme="minorEastAsia" w:cstheme="minorEastAsia"/>
          <w:b/>
          <w:spacing w:val="10"/>
          <w:sz w:val="21"/>
          <w:szCs w:val="21"/>
        </w:rPr>
      </w:pPr>
      <w:r>
        <w:rPr>
          <w:rFonts w:hint="eastAsia" w:asciiTheme="minorEastAsia" w:hAnsiTheme="minorEastAsia" w:cstheme="minorEastAsia"/>
          <w:b/>
          <w:spacing w:val="10"/>
          <w:sz w:val="21"/>
          <w:szCs w:val="21"/>
        </w:rPr>
        <w:t>在签署本产品协议书以前，甲方已根据本产品协议书</w:t>
      </w:r>
      <w:r>
        <w:rPr>
          <w:rFonts w:hint="eastAsia" w:asciiTheme="minorEastAsia" w:hAnsiTheme="minorEastAsia" w:cstheme="minorEastAsia"/>
          <w:b/>
          <w:spacing w:val="10"/>
          <w:sz w:val="21"/>
          <w:szCs w:val="21"/>
          <w:lang w:eastAsia="zh-CN"/>
        </w:rPr>
        <w:t>等理财产品销售文件</w:t>
      </w:r>
      <w:r>
        <w:rPr>
          <w:rFonts w:hint="eastAsia" w:asciiTheme="minorEastAsia" w:hAnsiTheme="minorEastAsia" w:cstheme="minorEastAsia"/>
          <w:b/>
          <w:spacing w:val="10"/>
          <w:sz w:val="21"/>
          <w:szCs w:val="21"/>
        </w:rPr>
        <w:t>的条款就乙方提出的疑问向乙方进行了详细的说明和解释，乙方已认真阅读本产品协议条款及对应期次的《理财产品说明书》和《理财产品风险揭示书》、</w:t>
      </w:r>
      <w:r>
        <w:rPr>
          <w:rFonts w:hint="eastAsia" w:asciiTheme="minorEastAsia" w:hAnsiTheme="minorEastAsia" w:cstheme="minorEastAsia"/>
          <w:b/>
          <w:bCs/>
          <w:spacing w:val="10"/>
          <w:sz w:val="21"/>
          <w:szCs w:val="21"/>
        </w:rPr>
        <w:t>《投资者权益须知》</w:t>
      </w:r>
      <w:r>
        <w:rPr>
          <w:rFonts w:hint="eastAsia" w:asciiTheme="minorEastAsia" w:hAnsiTheme="minorEastAsia" w:cstheme="minorEastAsia"/>
          <w:b/>
          <w:spacing w:val="10"/>
          <w:sz w:val="21"/>
          <w:szCs w:val="21"/>
        </w:rPr>
        <w:t>，明确本理财产品委托代理性质，愿意承担投资风险，并对协议双方的权利、义务、责任与风险有清楚和准确的认知且对有关条款不存在任何疑问或异议。乙方充分认识到投资本期理财产品可能面临的风险，并自愿承担相关风险，特此确认。</w:t>
      </w:r>
    </w:p>
    <w:p>
      <w:pPr>
        <w:spacing w:beforeLines="0" w:afterLines="0" w:line="280" w:lineRule="exact"/>
        <w:ind w:firstLine="462" w:firstLineChars="200"/>
        <w:rPr>
          <w:rFonts w:hint="eastAsia" w:asciiTheme="minorEastAsia" w:hAnsiTheme="minorEastAsia" w:cstheme="minorEastAsia"/>
          <w:b/>
          <w:spacing w:val="10"/>
          <w:sz w:val="21"/>
          <w:szCs w:val="21"/>
        </w:rPr>
      </w:pPr>
      <w:r>
        <w:rPr>
          <w:rFonts w:hint="eastAsia" w:asciiTheme="minorEastAsia" w:hAnsiTheme="minorEastAsia" w:cstheme="minorEastAsia"/>
          <w:b/>
          <w:spacing w:val="10"/>
          <w:sz w:val="21"/>
          <w:szCs w:val="21"/>
        </w:rPr>
        <w:t>乙方授权甲方于认购期/募集期/开放期/投资冷静期（私募产品适用）结束后从乙方授权指定账户扣划相应的认/申购资金。</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12.本协议为理财产品销售文件不可分割之组成部分，乙方签署本协议视为同时同意并确认了对应期次的《理财产品说明书》、《理财产品风险揭示书》及《投资者权益须知》等理财产品销售文件的相关条款</w:t>
      </w:r>
      <w:r>
        <w:rPr>
          <w:rFonts w:hint="eastAsia" w:asciiTheme="minorEastAsia" w:hAnsiTheme="minorEastAsia" w:cstheme="minorEastAsia"/>
          <w:spacing w:val="10"/>
          <w:sz w:val="21"/>
          <w:szCs w:val="21"/>
          <w:lang w:eastAsia="zh-CN"/>
        </w:rPr>
        <w:t>，无需再对前述理财产品销售文件进行签署</w:t>
      </w:r>
      <w:r>
        <w:rPr>
          <w:rFonts w:hint="eastAsia" w:asciiTheme="minorEastAsia" w:hAnsiTheme="minorEastAsia" w:cstheme="minorEastAsia"/>
          <w:spacing w:val="10"/>
          <w:sz w:val="21"/>
          <w:szCs w:val="21"/>
        </w:rPr>
        <w:t>。</w:t>
      </w:r>
      <w:bookmarkStart w:id="17" w:name="_Toc313550351"/>
    </w:p>
    <w:p>
      <w:pPr>
        <w:spacing w:beforeLines="0" w:afterLines="0" w:line="280" w:lineRule="exact"/>
        <w:ind w:firstLine="460" w:firstLineChars="200"/>
        <w:rPr>
          <w:rFonts w:hint="eastAsia" w:asciiTheme="minorEastAsia" w:hAnsiTheme="minorEastAsia" w:cstheme="minorEastAsia"/>
          <w:spacing w:val="10"/>
          <w:sz w:val="21"/>
          <w:szCs w:val="21"/>
        </w:rPr>
      </w:pP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（以下为签章页</w:t>
      </w:r>
      <w:r>
        <w:rPr>
          <w:rFonts w:hint="eastAsia" w:asciiTheme="minorEastAsia" w:hAnsiTheme="minorEastAsia" w:cstheme="minorEastAsia"/>
          <w:spacing w:val="10"/>
          <w:sz w:val="21"/>
          <w:szCs w:val="21"/>
          <w:lang w:eastAsia="zh-CN"/>
        </w:rPr>
        <w:t>，适用于纸质书面形式订立协议的情形</w:t>
      </w:r>
      <w:r>
        <w:rPr>
          <w:rFonts w:hint="eastAsia" w:asciiTheme="minorEastAsia" w:hAnsiTheme="minorEastAsia" w:cstheme="minorEastAsia"/>
          <w:spacing w:val="10"/>
          <w:sz w:val="21"/>
          <w:szCs w:val="21"/>
        </w:rPr>
        <w:t>）</w:t>
      </w:r>
    </w:p>
    <w:p>
      <w:pPr>
        <w:spacing w:beforeLines="0" w:afterLines="0" w:line="280" w:lineRule="exact"/>
        <w:ind w:firstLine="460" w:firstLineChars="200"/>
        <w:rPr>
          <w:rFonts w:hint="eastAsia" w:asciiTheme="minorEastAsia" w:hAnsiTheme="minorEastAsia" w:cstheme="minorEastAsia"/>
          <w:spacing w:val="10"/>
          <w:sz w:val="21"/>
          <w:szCs w:val="21"/>
        </w:rPr>
      </w:pPr>
    </w:p>
    <w:p>
      <w:pPr>
        <w:spacing w:beforeLines="0" w:afterLines="0" w:line="280" w:lineRule="exact"/>
        <w:ind w:firstLine="460" w:firstLineChars="200"/>
        <w:rPr>
          <w:rFonts w:hint="eastAsia" w:asciiTheme="minorEastAsia" w:hAnsiTheme="minorEastAsia" w:cstheme="minorEastAsia"/>
          <w:spacing w:val="10"/>
          <w:sz w:val="21"/>
          <w:szCs w:val="21"/>
        </w:rPr>
      </w:pPr>
    </w:p>
    <w:p>
      <w:pPr>
        <w:spacing w:beforeLines="0" w:afterLines="0" w:line="280" w:lineRule="exact"/>
        <w:ind w:firstLine="460" w:firstLineChars="200"/>
        <w:rPr>
          <w:rFonts w:hint="eastAsia" w:asciiTheme="minorEastAsia" w:hAnsiTheme="minorEastAsia" w:cstheme="minorEastAsia"/>
          <w:spacing w:val="10"/>
          <w:sz w:val="21"/>
          <w:szCs w:val="21"/>
          <w:u w:val="single"/>
        </w:rPr>
      </w:pPr>
      <w:r>
        <w:rPr>
          <w:rFonts w:hint="eastAsia" w:asciiTheme="minorEastAsia" w:hAnsiTheme="minorEastAsia" w:cstheme="minorEastAsia"/>
          <w:spacing w:val="10"/>
          <w:sz w:val="21"/>
          <w:szCs w:val="21"/>
        </w:rPr>
        <w:t>甲方：（</w:t>
      </w:r>
      <w:r>
        <w:rPr>
          <w:rFonts w:hint="eastAsia" w:asciiTheme="minorEastAsia" w:hAnsiTheme="minorEastAsia" w:cstheme="minorEastAsia"/>
          <w:spacing w:val="10"/>
          <w:sz w:val="21"/>
          <w:szCs w:val="21"/>
          <w:lang w:val="en-US" w:eastAsia="zh-CN"/>
        </w:rPr>
        <w:t>盖章</w:t>
      </w:r>
      <w:r>
        <w:rPr>
          <w:rFonts w:hint="eastAsia" w:asciiTheme="minorEastAsia" w:hAnsiTheme="minorEastAsia" w:cstheme="minorEastAsia"/>
          <w:spacing w:val="10"/>
          <w:sz w:val="21"/>
          <w:szCs w:val="21"/>
        </w:rPr>
        <w:t>）</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网点地址：</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网点电话：</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传真：</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 xml:space="preserve">理财服务人员：          </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联系电话：</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 xml:space="preserve">   年 月 日                                                    </w:t>
      </w:r>
    </w:p>
    <w:p>
      <w:pPr>
        <w:spacing w:beforeLines="0" w:afterLines="0" w:line="280" w:lineRule="exact"/>
        <w:ind w:firstLine="460" w:firstLineChars="200"/>
        <w:rPr>
          <w:rFonts w:hint="eastAsia" w:asciiTheme="minorEastAsia" w:hAnsiTheme="minorEastAsia" w:cstheme="minorEastAsia"/>
          <w:spacing w:val="10"/>
          <w:sz w:val="21"/>
          <w:szCs w:val="21"/>
        </w:rPr>
      </w:pPr>
    </w:p>
    <w:p>
      <w:pPr>
        <w:spacing w:beforeLines="0" w:afterLines="0" w:line="280" w:lineRule="exact"/>
        <w:ind w:firstLine="460" w:firstLineChars="200"/>
        <w:rPr>
          <w:rFonts w:hint="eastAsia" w:asciiTheme="minorEastAsia" w:hAnsiTheme="minorEastAsia" w:cstheme="minorEastAsia"/>
          <w:spacing w:val="10"/>
          <w:sz w:val="21"/>
          <w:szCs w:val="21"/>
        </w:rPr>
      </w:pPr>
    </w:p>
    <w:p>
      <w:pPr>
        <w:spacing w:beforeLines="0" w:afterLines="0" w:line="280" w:lineRule="exact"/>
        <w:ind w:firstLine="460" w:firstLineChars="200"/>
        <w:rPr>
          <w:rFonts w:hint="eastAsia" w:asciiTheme="minorEastAsia" w:hAnsiTheme="minorEastAsia" w:cstheme="minorEastAsia"/>
          <w:spacing w:val="10"/>
          <w:sz w:val="21"/>
          <w:szCs w:val="21"/>
        </w:rPr>
      </w:pPr>
    </w:p>
    <w:p>
      <w:pPr>
        <w:spacing w:beforeLines="0" w:afterLines="0" w:line="280" w:lineRule="exact"/>
        <w:ind w:firstLine="460" w:firstLineChars="200"/>
        <w:rPr>
          <w:rFonts w:hint="eastAsia" w:asciiTheme="minorEastAsia" w:hAnsiTheme="minorEastAsia" w:cstheme="minorEastAsia"/>
          <w:spacing w:val="10"/>
          <w:sz w:val="21"/>
          <w:szCs w:val="21"/>
        </w:rPr>
      </w:pPr>
    </w:p>
    <w:p>
      <w:pPr>
        <w:spacing w:beforeLines="0" w:afterLines="0" w:line="280" w:lineRule="exact"/>
        <w:ind w:firstLine="460" w:firstLineChars="200"/>
        <w:rPr>
          <w:rFonts w:hint="eastAsia" w:asciiTheme="minorEastAsia" w:hAnsiTheme="minorEastAsia" w:cstheme="minorEastAsia"/>
          <w:spacing w:val="10"/>
          <w:sz w:val="21"/>
          <w:szCs w:val="21"/>
        </w:rPr>
      </w:pPr>
    </w:p>
    <w:p>
      <w:pPr>
        <w:spacing w:beforeLines="0" w:afterLines="0" w:line="280" w:lineRule="exact"/>
        <w:ind w:firstLine="460" w:firstLineChars="200"/>
        <w:rPr>
          <w:rFonts w:hint="eastAsia" w:asciiTheme="minorEastAsia" w:hAnsiTheme="minorEastAsia" w:cstheme="minorEastAsia"/>
          <w:spacing w:val="10"/>
          <w:sz w:val="21"/>
          <w:szCs w:val="21"/>
        </w:rPr>
      </w:pPr>
    </w:p>
    <w:p>
      <w:pPr>
        <w:widowControl/>
        <w:spacing w:beforeLines="0" w:afterLines="0" w:line="280" w:lineRule="exact"/>
        <w:ind w:firstLine="460" w:firstLineChars="200"/>
        <w:jc w:val="left"/>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 xml:space="preserve">乙方： （公章）   </w:t>
      </w:r>
    </w:p>
    <w:p>
      <w:pPr>
        <w:widowControl/>
        <w:spacing w:beforeLines="0" w:afterLines="0" w:line="280" w:lineRule="exact"/>
        <w:ind w:firstLine="460" w:firstLineChars="200"/>
        <w:jc w:val="left"/>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 xml:space="preserve">地址：                                     </w:t>
      </w:r>
    </w:p>
    <w:p>
      <w:pPr>
        <w:widowControl/>
        <w:spacing w:beforeLines="0" w:afterLines="0" w:line="280" w:lineRule="exact"/>
        <w:ind w:firstLine="460" w:firstLineChars="200"/>
        <w:jc w:val="left"/>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 xml:space="preserve">电话：                       </w:t>
      </w:r>
    </w:p>
    <w:p>
      <w:pPr>
        <w:widowControl/>
        <w:spacing w:beforeLines="0" w:afterLines="0" w:line="280" w:lineRule="exact"/>
        <w:ind w:firstLine="460" w:firstLineChars="200"/>
        <w:jc w:val="left"/>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 xml:space="preserve">传真：                          </w:t>
      </w:r>
    </w:p>
    <w:p>
      <w:pPr>
        <w:widowControl/>
        <w:spacing w:beforeLines="0" w:afterLines="0" w:line="280" w:lineRule="exact"/>
        <w:ind w:firstLine="460" w:firstLineChars="200"/>
        <w:jc w:val="left"/>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 xml:space="preserve">联系人：              </w:t>
      </w:r>
    </w:p>
    <w:p>
      <w:pPr>
        <w:widowControl/>
        <w:spacing w:beforeLines="0" w:afterLines="0" w:line="280" w:lineRule="exact"/>
        <w:ind w:firstLine="690" w:firstLineChars="300"/>
        <w:jc w:val="left"/>
        <w:rPr>
          <w:lang w:val="en-US" w:eastAsia="zh-CN"/>
        </w:rPr>
      </w:pPr>
      <w:r>
        <w:rPr>
          <w:rFonts w:hint="eastAsia" w:asciiTheme="minorEastAsia" w:hAnsiTheme="minorEastAsia" w:cstheme="minorEastAsia"/>
          <w:spacing w:val="10"/>
          <w:sz w:val="21"/>
          <w:szCs w:val="21"/>
        </w:rPr>
        <w:t>年 月 日</w:t>
      </w:r>
      <w:bookmarkEnd w:id="17"/>
    </w:p>
    <w:p>
      <w:pPr>
        <w:bidi w:val="0"/>
        <w:jc w:val="left"/>
        <w:rPr>
          <w:rFonts w:hint="eastAsia"/>
          <w:lang w:val="en-US" w:eastAsia="zh-CN"/>
        </w:rPr>
      </w:pPr>
    </w:p>
    <w:sectPr>
      <w:headerReference r:id="rId5" w:type="default"/>
      <w:type w:val="continuous"/>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方正细黑一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w:pict>
        <v:shape id="文本框 3" o:spid="_x0000_s2049"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w:r>
    <w:r>
      <w:rPr>
        <w:rFonts w:ascii="宋体" w:hAnsi="宋体" w:eastAsia="宋体" w:cs="宋体"/>
        <w:sz w:val="18"/>
        <w:szCs w:val="18"/>
      </w:rPr>
      <w:t>版本号：V21.01.0001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thickThinSmallGap" w:color="622423" w:sz="24" w:space="1"/>
      </w:pBdr>
      <w:tabs>
        <w:tab w:val="right" w:pos="8312"/>
        <w:tab w:val="clear" w:pos="8306"/>
      </w:tabs>
      <w:wordWrap w:val="0"/>
      <w:ind w:right="0"/>
      <w:jc w:val="right"/>
      <w:rPr>
        <w:sz w:val="32"/>
      </w:rPr>
    </w:pPr>
    <w:r>
      <w:drawing>
        <wp:anchor distT="0" distB="0" distL="114300" distR="114300" simplePos="0" relativeHeight="251659264" behindDoc="1" locked="0" layoutInCell="1" allowOverlap="1">
          <wp:simplePos x="0" y="0"/>
          <wp:positionH relativeFrom="column">
            <wp:posOffset>-68580</wp:posOffset>
          </wp:positionH>
          <wp:positionV relativeFrom="paragraph">
            <wp:posOffset>-258445</wp:posOffset>
          </wp:positionV>
          <wp:extent cx="1247775" cy="447675"/>
          <wp:effectExtent l="0" t="0" r="9525" b="9525"/>
          <wp:wrapTight wrapText="bothSides">
            <wp:wrapPolygon>
              <wp:start x="0" y="0"/>
              <wp:lineTo x="0" y="20436"/>
              <wp:lineTo x="21435" y="20436"/>
              <wp:lineTo x="21435" y="0"/>
              <wp:lineTo x="0" y="0"/>
            </wp:wrapPolygon>
          </wp:wrapTight>
          <wp:docPr id="2" name="Object 6" descr="文本&#10;&#10;&#10;&#10;&#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ject 6" descr="文本&#10;&#10;&#10;&#10;&#10;&#10;描述已自动生成"/>
                  <pic:cNvPicPr>
                    <a:picLocks noChangeAspect="1"/>
                  </pic:cNvPicPr>
                </pic:nvPicPr>
                <pic:blipFill>
                  <a:blip r:embed="rId1"/>
                  <a:stretch>
                    <a:fillRect/>
                  </a:stretch>
                </pic:blipFill>
                <pic:spPr>
                  <a:xfrm>
                    <a:off x="0" y="0"/>
                    <a:ext cx="1247775" cy="4476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2"/>
      </w:pBdr>
      <w:wordWrap w:val="0"/>
      <w:ind w:right="360"/>
      <w:rPr>
        <w:sz w:val="22"/>
        <w:szCs w:val="13"/>
      </w:rPr>
    </w:pPr>
    <w:r>
      <w:drawing>
        <wp:inline distT="0" distB="0" distL="0" distR="0">
          <wp:extent cx="1153160" cy="382270"/>
          <wp:effectExtent l="1905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srcRect/>
                  <a:stretch>
                    <a:fillRect/>
                  </a:stretch>
                </pic:blipFill>
                <pic:spPr>
                  <a:xfrm>
                    <a:off x="0" y="0"/>
                    <a:ext cx="1153160" cy="382270"/>
                  </a:xfrm>
                  <a:prstGeom prst="rect">
                    <a:avLst/>
                  </a:prstGeom>
                  <a:noFill/>
                  <a:ln w="9525" cmpd="sng">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chineseCountingThousand"/>
      <w:pStyle w:val="3"/>
      <w:suff w:val="space"/>
      <w:lvlText w:val="第%1章"/>
      <w:lvlJc w:val="left"/>
      <w:pPr>
        <w:ind w:left="170" w:hanging="170"/>
      </w:pPr>
      <w:rPr>
        <w:rFonts w:hint="eastAsia" w:ascii="宋体" w:hAnsi="宋体" w:eastAsia="宋体"/>
        <w:b/>
        <w:i w:val="0"/>
        <w:caps w:val="0"/>
        <w:strike w:val="0"/>
        <w:dstrike w:val="0"/>
        <w:snapToGrid w:val="0"/>
        <w:vanish w:val="0"/>
        <w:color w:val="auto"/>
        <w:spacing w:val="0"/>
        <w:w w:val="100"/>
        <w:kern w:val="0"/>
        <w:position w:val="0"/>
        <w:sz w:val="28"/>
        <w:szCs w:val="28"/>
        <w:u w:val="none"/>
        <w:vertAlign w:val="baseline"/>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06"/>
    <w:multiLevelType w:val="multilevel"/>
    <w:tmpl w:val="00000006"/>
    <w:lvl w:ilvl="0" w:tentative="0">
      <w:start w:val="1"/>
      <w:numFmt w:val="japaneseCounting"/>
      <w:lvlText w:val="第%1条"/>
      <w:lvlJc w:val="left"/>
      <w:pPr>
        <w:ind w:left="665" w:hanging="405"/>
      </w:pPr>
      <w:rPr>
        <w:rFonts w:hint="default"/>
      </w:rPr>
    </w:lvl>
    <w:lvl w:ilvl="1" w:tentative="0">
      <w:start w:val="1"/>
      <w:numFmt w:val="lowerLetter"/>
      <w:lvlText w:val="%2)"/>
      <w:lvlJc w:val="left"/>
      <w:pPr>
        <w:ind w:left="1100" w:hanging="420"/>
      </w:pPr>
    </w:lvl>
    <w:lvl w:ilvl="2" w:tentative="0">
      <w:start w:val="1"/>
      <w:numFmt w:val="lowerRoman"/>
      <w:lvlText w:val="%3."/>
      <w:lvlJc w:val="right"/>
      <w:pPr>
        <w:ind w:left="1520" w:hanging="420"/>
      </w:pPr>
    </w:lvl>
    <w:lvl w:ilvl="3" w:tentative="0">
      <w:start w:val="1"/>
      <w:numFmt w:val="decimal"/>
      <w:lvlText w:val="%4."/>
      <w:lvlJc w:val="left"/>
      <w:pPr>
        <w:ind w:left="1940" w:hanging="420"/>
      </w:pPr>
    </w:lvl>
    <w:lvl w:ilvl="4" w:tentative="0">
      <w:start w:val="1"/>
      <w:numFmt w:val="lowerLetter"/>
      <w:lvlText w:val="%5)"/>
      <w:lvlJc w:val="left"/>
      <w:pPr>
        <w:ind w:left="2360" w:hanging="420"/>
      </w:pPr>
    </w:lvl>
    <w:lvl w:ilvl="5" w:tentative="0">
      <w:start w:val="1"/>
      <w:numFmt w:val="lowerRoman"/>
      <w:lvlText w:val="%6."/>
      <w:lvlJc w:val="right"/>
      <w:pPr>
        <w:ind w:left="2780" w:hanging="420"/>
      </w:pPr>
    </w:lvl>
    <w:lvl w:ilvl="6" w:tentative="0">
      <w:start w:val="1"/>
      <w:numFmt w:val="decimal"/>
      <w:lvlText w:val="%7."/>
      <w:lvlJc w:val="left"/>
      <w:pPr>
        <w:ind w:left="3200" w:hanging="420"/>
      </w:pPr>
    </w:lvl>
    <w:lvl w:ilvl="7" w:tentative="0">
      <w:start w:val="1"/>
      <w:numFmt w:val="lowerLetter"/>
      <w:lvlText w:val="%8)"/>
      <w:lvlJc w:val="left"/>
      <w:pPr>
        <w:ind w:left="3620" w:hanging="420"/>
      </w:pPr>
    </w:lvl>
    <w:lvl w:ilvl="8" w:tentative="0">
      <w:start w:val="1"/>
      <w:numFmt w:val="lowerRoman"/>
      <w:lvlText w:val="%9."/>
      <w:lvlJc w:val="right"/>
      <w:pPr>
        <w:ind w:left="4040" w:hanging="420"/>
      </w:pPr>
    </w:lvl>
  </w:abstractNum>
  <w:abstractNum w:abstractNumId="2">
    <w:nsid w:val="5DF84C9C"/>
    <w:multiLevelType w:val="singleLevel"/>
    <w:tmpl w:val="5DF84C9C"/>
    <w:lvl w:ilvl="0" w:tentative="0">
      <w:start w:val="1"/>
      <w:numFmt w:val="decimal"/>
      <w:suff w:val="nothing"/>
      <w:lvlText w:val="%1."/>
      <w:lvlJc w:val="left"/>
    </w:lvl>
  </w:abstractNum>
  <w:abstractNum w:abstractNumId="3">
    <w:nsid w:val="5DF84CBD"/>
    <w:multiLevelType w:val="singleLevel"/>
    <w:tmpl w:val="5DF84CBD"/>
    <w:lvl w:ilvl="0" w:tentative="0">
      <w:start w:val="1"/>
      <w:numFmt w:val="decimal"/>
      <w:suff w:val="nothing"/>
      <w:lvlText w:val="（%1）"/>
      <w:lvlJc w:val="left"/>
    </w:lvl>
  </w:abstractNum>
  <w:abstractNum w:abstractNumId="4">
    <w:nsid w:val="5DF84D07"/>
    <w:multiLevelType w:val="singleLevel"/>
    <w:tmpl w:val="5DF84D07"/>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53CA"/>
    <w:rsid w:val="000135E4"/>
    <w:rsid w:val="00085592"/>
    <w:rsid w:val="00172A27"/>
    <w:rsid w:val="00176790"/>
    <w:rsid w:val="00222D6F"/>
    <w:rsid w:val="0023073B"/>
    <w:rsid w:val="0024708F"/>
    <w:rsid w:val="00263DC0"/>
    <w:rsid w:val="00281CFE"/>
    <w:rsid w:val="00285C75"/>
    <w:rsid w:val="002B6E14"/>
    <w:rsid w:val="002B73FD"/>
    <w:rsid w:val="002D46F7"/>
    <w:rsid w:val="003230AA"/>
    <w:rsid w:val="003810DF"/>
    <w:rsid w:val="003C102A"/>
    <w:rsid w:val="003E21C1"/>
    <w:rsid w:val="004706E2"/>
    <w:rsid w:val="0048285C"/>
    <w:rsid w:val="004E7B3C"/>
    <w:rsid w:val="004F65AC"/>
    <w:rsid w:val="00501F25"/>
    <w:rsid w:val="00510798"/>
    <w:rsid w:val="00611C1F"/>
    <w:rsid w:val="006176B9"/>
    <w:rsid w:val="006417C5"/>
    <w:rsid w:val="0065224A"/>
    <w:rsid w:val="0069760F"/>
    <w:rsid w:val="006C1736"/>
    <w:rsid w:val="006F41E6"/>
    <w:rsid w:val="00705BB5"/>
    <w:rsid w:val="00731012"/>
    <w:rsid w:val="007825DE"/>
    <w:rsid w:val="007A4F73"/>
    <w:rsid w:val="007D1956"/>
    <w:rsid w:val="007E3021"/>
    <w:rsid w:val="007E5902"/>
    <w:rsid w:val="007E655A"/>
    <w:rsid w:val="009674CD"/>
    <w:rsid w:val="009B336F"/>
    <w:rsid w:val="009D54ED"/>
    <w:rsid w:val="00B45490"/>
    <w:rsid w:val="00B52880"/>
    <w:rsid w:val="00BE6B15"/>
    <w:rsid w:val="00C048FD"/>
    <w:rsid w:val="00CC17F3"/>
    <w:rsid w:val="00CD569C"/>
    <w:rsid w:val="00D13A37"/>
    <w:rsid w:val="00D35800"/>
    <w:rsid w:val="00D737F7"/>
    <w:rsid w:val="00DA7ADE"/>
    <w:rsid w:val="00DB2ABE"/>
    <w:rsid w:val="00E048B6"/>
    <w:rsid w:val="00E37CBD"/>
    <w:rsid w:val="00E46D7C"/>
    <w:rsid w:val="00E64A2F"/>
    <w:rsid w:val="00E969F6"/>
    <w:rsid w:val="00E97986"/>
    <w:rsid w:val="00E97A37"/>
    <w:rsid w:val="00F57F71"/>
    <w:rsid w:val="00FB5EC1"/>
    <w:rsid w:val="00FF2A56"/>
    <w:rsid w:val="01355E91"/>
    <w:rsid w:val="019E3972"/>
    <w:rsid w:val="01CF4BBC"/>
    <w:rsid w:val="01E43207"/>
    <w:rsid w:val="021B7294"/>
    <w:rsid w:val="028A0B18"/>
    <w:rsid w:val="0292597D"/>
    <w:rsid w:val="02A97196"/>
    <w:rsid w:val="02C66AA6"/>
    <w:rsid w:val="03491AA4"/>
    <w:rsid w:val="034E0589"/>
    <w:rsid w:val="03B5546C"/>
    <w:rsid w:val="03E37EAD"/>
    <w:rsid w:val="03F86CB6"/>
    <w:rsid w:val="03F94F8A"/>
    <w:rsid w:val="041637C9"/>
    <w:rsid w:val="04635DBB"/>
    <w:rsid w:val="04926680"/>
    <w:rsid w:val="04D578A4"/>
    <w:rsid w:val="058D3050"/>
    <w:rsid w:val="06925060"/>
    <w:rsid w:val="0790109B"/>
    <w:rsid w:val="080037FA"/>
    <w:rsid w:val="085F247C"/>
    <w:rsid w:val="090E234D"/>
    <w:rsid w:val="092C49E7"/>
    <w:rsid w:val="096A1718"/>
    <w:rsid w:val="0A0041BE"/>
    <w:rsid w:val="0A19060D"/>
    <w:rsid w:val="0AA155A0"/>
    <w:rsid w:val="0B1139B8"/>
    <w:rsid w:val="0B8C2BBB"/>
    <w:rsid w:val="0BC94CCD"/>
    <w:rsid w:val="0CC93B4B"/>
    <w:rsid w:val="0CE369BD"/>
    <w:rsid w:val="0CF51490"/>
    <w:rsid w:val="0D6F1094"/>
    <w:rsid w:val="0D9770D9"/>
    <w:rsid w:val="0DC55EDE"/>
    <w:rsid w:val="0DC8347C"/>
    <w:rsid w:val="0DE23A70"/>
    <w:rsid w:val="0E5D5A3D"/>
    <w:rsid w:val="0E7E7A98"/>
    <w:rsid w:val="0F3B4D0B"/>
    <w:rsid w:val="0F4120DC"/>
    <w:rsid w:val="0F46309A"/>
    <w:rsid w:val="0FAF298C"/>
    <w:rsid w:val="1034661D"/>
    <w:rsid w:val="103D2015"/>
    <w:rsid w:val="11045643"/>
    <w:rsid w:val="11062B15"/>
    <w:rsid w:val="11260537"/>
    <w:rsid w:val="113B36D4"/>
    <w:rsid w:val="11742A50"/>
    <w:rsid w:val="123E6F72"/>
    <w:rsid w:val="126E3CD3"/>
    <w:rsid w:val="133E7AE7"/>
    <w:rsid w:val="135A138C"/>
    <w:rsid w:val="13AC55BC"/>
    <w:rsid w:val="13C523E8"/>
    <w:rsid w:val="14264015"/>
    <w:rsid w:val="14920280"/>
    <w:rsid w:val="1544704A"/>
    <w:rsid w:val="15463159"/>
    <w:rsid w:val="15721A38"/>
    <w:rsid w:val="15C15938"/>
    <w:rsid w:val="15CE18CC"/>
    <w:rsid w:val="15CF1308"/>
    <w:rsid w:val="15D2757E"/>
    <w:rsid w:val="162348F6"/>
    <w:rsid w:val="16685E3C"/>
    <w:rsid w:val="166A25C2"/>
    <w:rsid w:val="16CF2854"/>
    <w:rsid w:val="16ED78C7"/>
    <w:rsid w:val="16FE3F58"/>
    <w:rsid w:val="175C148E"/>
    <w:rsid w:val="17763E7D"/>
    <w:rsid w:val="177F0181"/>
    <w:rsid w:val="17A32ACB"/>
    <w:rsid w:val="17B42215"/>
    <w:rsid w:val="184B27B7"/>
    <w:rsid w:val="185C4785"/>
    <w:rsid w:val="18AC246E"/>
    <w:rsid w:val="195E636C"/>
    <w:rsid w:val="19687368"/>
    <w:rsid w:val="19E13C8C"/>
    <w:rsid w:val="1A6C75C2"/>
    <w:rsid w:val="1A7B7158"/>
    <w:rsid w:val="1A89479D"/>
    <w:rsid w:val="1A9D3E8B"/>
    <w:rsid w:val="1AC178BA"/>
    <w:rsid w:val="1AC36197"/>
    <w:rsid w:val="1AF43485"/>
    <w:rsid w:val="1B615A8E"/>
    <w:rsid w:val="1B963F98"/>
    <w:rsid w:val="1BAD3D5C"/>
    <w:rsid w:val="1BAE0D1F"/>
    <w:rsid w:val="1C52559A"/>
    <w:rsid w:val="1CF942A0"/>
    <w:rsid w:val="1D987220"/>
    <w:rsid w:val="1DAF53EF"/>
    <w:rsid w:val="1DDA012B"/>
    <w:rsid w:val="1DFE4622"/>
    <w:rsid w:val="1EA2195F"/>
    <w:rsid w:val="1EAF04D4"/>
    <w:rsid w:val="1F8D3B50"/>
    <w:rsid w:val="20036AA5"/>
    <w:rsid w:val="20436478"/>
    <w:rsid w:val="20C050FC"/>
    <w:rsid w:val="21186780"/>
    <w:rsid w:val="218A59BA"/>
    <w:rsid w:val="2197557D"/>
    <w:rsid w:val="21C43166"/>
    <w:rsid w:val="22872D8D"/>
    <w:rsid w:val="22A13329"/>
    <w:rsid w:val="22DF66CB"/>
    <w:rsid w:val="22F109A4"/>
    <w:rsid w:val="22F65831"/>
    <w:rsid w:val="23804533"/>
    <w:rsid w:val="23864D8D"/>
    <w:rsid w:val="23D51DA2"/>
    <w:rsid w:val="23E85A6F"/>
    <w:rsid w:val="24326F7A"/>
    <w:rsid w:val="255970F6"/>
    <w:rsid w:val="269A299D"/>
    <w:rsid w:val="26BE4B45"/>
    <w:rsid w:val="27192315"/>
    <w:rsid w:val="27AD3C4C"/>
    <w:rsid w:val="27D25011"/>
    <w:rsid w:val="27EB33BD"/>
    <w:rsid w:val="28D60E6E"/>
    <w:rsid w:val="292E4377"/>
    <w:rsid w:val="296C4DE9"/>
    <w:rsid w:val="298554A0"/>
    <w:rsid w:val="29E0345D"/>
    <w:rsid w:val="2A0E4A86"/>
    <w:rsid w:val="2A925ED9"/>
    <w:rsid w:val="2B6A60A2"/>
    <w:rsid w:val="2B9254A0"/>
    <w:rsid w:val="2BDC1B78"/>
    <w:rsid w:val="2C057254"/>
    <w:rsid w:val="2C440766"/>
    <w:rsid w:val="2C5144BF"/>
    <w:rsid w:val="2C9D7C2F"/>
    <w:rsid w:val="2D304BC3"/>
    <w:rsid w:val="2DC169A8"/>
    <w:rsid w:val="2DE63DD5"/>
    <w:rsid w:val="2E6B1782"/>
    <w:rsid w:val="2EEC0F05"/>
    <w:rsid w:val="2F7F7FDE"/>
    <w:rsid w:val="2F826716"/>
    <w:rsid w:val="2FB07462"/>
    <w:rsid w:val="301A417A"/>
    <w:rsid w:val="30327A7E"/>
    <w:rsid w:val="30333BBE"/>
    <w:rsid w:val="306A1882"/>
    <w:rsid w:val="309856AB"/>
    <w:rsid w:val="30AB18A2"/>
    <w:rsid w:val="30C47898"/>
    <w:rsid w:val="31271028"/>
    <w:rsid w:val="31B12FA0"/>
    <w:rsid w:val="329E4D7C"/>
    <w:rsid w:val="32B65915"/>
    <w:rsid w:val="32CA231F"/>
    <w:rsid w:val="341612EB"/>
    <w:rsid w:val="34815BA8"/>
    <w:rsid w:val="34B914D4"/>
    <w:rsid w:val="35B816C4"/>
    <w:rsid w:val="35E56EDE"/>
    <w:rsid w:val="35E60945"/>
    <w:rsid w:val="3630238E"/>
    <w:rsid w:val="363E1F0C"/>
    <w:rsid w:val="368635F7"/>
    <w:rsid w:val="36BF0557"/>
    <w:rsid w:val="385F377F"/>
    <w:rsid w:val="386C562C"/>
    <w:rsid w:val="387A5C89"/>
    <w:rsid w:val="38D8150B"/>
    <w:rsid w:val="38DD0814"/>
    <w:rsid w:val="38E23715"/>
    <w:rsid w:val="395C05A3"/>
    <w:rsid w:val="39691BD5"/>
    <w:rsid w:val="396A7878"/>
    <w:rsid w:val="396F6940"/>
    <w:rsid w:val="3A3A08AD"/>
    <w:rsid w:val="3AB12D20"/>
    <w:rsid w:val="3ABF376D"/>
    <w:rsid w:val="3AC20EC7"/>
    <w:rsid w:val="3B107531"/>
    <w:rsid w:val="3B6362D8"/>
    <w:rsid w:val="3BFF0BE4"/>
    <w:rsid w:val="3C0A6DAF"/>
    <w:rsid w:val="3C0F14AC"/>
    <w:rsid w:val="3C535FF8"/>
    <w:rsid w:val="3C6C205B"/>
    <w:rsid w:val="3C886102"/>
    <w:rsid w:val="3C9662BB"/>
    <w:rsid w:val="3CB85659"/>
    <w:rsid w:val="3D177595"/>
    <w:rsid w:val="3D35653E"/>
    <w:rsid w:val="3D49571A"/>
    <w:rsid w:val="3D5F3DFF"/>
    <w:rsid w:val="3D6C195F"/>
    <w:rsid w:val="3DD20CA0"/>
    <w:rsid w:val="3E3F2864"/>
    <w:rsid w:val="3F0A3877"/>
    <w:rsid w:val="3F0B6FAE"/>
    <w:rsid w:val="3F527D04"/>
    <w:rsid w:val="3F721155"/>
    <w:rsid w:val="3F833E27"/>
    <w:rsid w:val="3FBF4D77"/>
    <w:rsid w:val="400640D6"/>
    <w:rsid w:val="403129E4"/>
    <w:rsid w:val="40C83177"/>
    <w:rsid w:val="40F663D5"/>
    <w:rsid w:val="423C36CD"/>
    <w:rsid w:val="432C4778"/>
    <w:rsid w:val="43667587"/>
    <w:rsid w:val="438F437E"/>
    <w:rsid w:val="43F83E5D"/>
    <w:rsid w:val="443D4804"/>
    <w:rsid w:val="4440108C"/>
    <w:rsid w:val="44AB0794"/>
    <w:rsid w:val="44D51B27"/>
    <w:rsid w:val="45310E76"/>
    <w:rsid w:val="457412D9"/>
    <w:rsid w:val="45B84119"/>
    <w:rsid w:val="45E15150"/>
    <w:rsid w:val="46973ABB"/>
    <w:rsid w:val="47496A28"/>
    <w:rsid w:val="477F3460"/>
    <w:rsid w:val="47B311CB"/>
    <w:rsid w:val="485024AF"/>
    <w:rsid w:val="48C73DBF"/>
    <w:rsid w:val="48CC2961"/>
    <w:rsid w:val="48E376E5"/>
    <w:rsid w:val="490C2E2F"/>
    <w:rsid w:val="49116CA6"/>
    <w:rsid w:val="491347FF"/>
    <w:rsid w:val="49587E33"/>
    <w:rsid w:val="496A72F3"/>
    <w:rsid w:val="4A451764"/>
    <w:rsid w:val="4A7B3D04"/>
    <w:rsid w:val="4ABF35C0"/>
    <w:rsid w:val="4AF04BA2"/>
    <w:rsid w:val="4AF56A58"/>
    <w:rsid w:val="4AFA7F67"/>
    <w:rsid w:val="4B5B222C"/>
    <w:rsid w:val="4B68702A"/>
    <w:rsid w:val="4B785413"/>
    <w:rsid w:val="4B9354E9"/>
    <w:rsid w:val="4BF9763C"/>
    <w:rsid w:val="4C613A03"/>
    <w:rsid w:val="4C9177D8"/>
    <w:rsid w:val="4CA63E69"/>
    <w:rsid w:val="4D011B6B"/>
    <w:rsid w:val="4D5637C4"/>
    <w:rsid w:val="4D793F29"/>
    <w:rsid w:val="4DF517CA"/>
    <w:rsid w:val="4E04342A"/>
    <w:rsid w:val="4E1E0940"/>
    <w:rsid w:val="4E895B7C"/>
    <w:rsid w:val="4E8B0351"/>
    <w:rsid w:val="4E91494B"/>
    <w:rsid w:val="4E917C6E"/>
    <w:rsid w:val="4EDC1447"/>
    <w:rsid w:val="4EF86C06"/>
    <w:rsid w:val="4F695BFC"/>
    <w:rsid w:val="4F6C317E"/>
    <w:rsid w:val="4FD062A9"/>
    <w:rsid w:val="5069633B"/>
    <w:rsid w:val="50AF1729"/>
    <w:rsid w:val="51611119"/>
    <w:rsid w:val="519763D8"/>
    <w:rsid w:val="52036AA1"/>
    <w:rsid w:val="527402C2"/>
    <w:rsid w:val="527E3F2A"/>
    <w:rsid w:val="52C93B9A"/>
    <w:rsid w:val="52ED4EC3"/>
    <w:rsid w:val="53372366"/>
    <w:rsid w:val="53462D22"/>
    <w:rsid w:val="536C4A8D"/>
    <w:rsid w:val="53880EB8"/>
    <w:rsid w:val="53923B9F"/>
    <w:rsid w:val="53CB2805"/>
    <w:rsid w:val="541F1C61"/>
    <w:rsid w:val="5480748D"/>
    <w:rsid w:val="556C68EB"/>
    <w:rsid w:val="55D61B62"/>
    <w:rsid w:val="55EB6089"/>
    <w:rsid w:val="563137A7"/>
    <w:rsid w:val="56F064F5"/>
    <w:rsid w:val="57370A03"/>
    <w:rsid w:val="57406E3C"/>
    <w:rsid w:val="5774128D"/>
    <w:rsid w:val="57810848"/>
    <w:rsid w:val="57C522C5"/>
    <w:rsid w:val="57F36615"/>
    <w:rsid w:val="581B598A"/>
    <w:rsid w:val="5821297F"/>
    <w:rsid w:val="58413308"/>
    <w:rsid w:val="58AA63A0"/>
    <w:rsid w:val="58B20A9C"/>
    <w:rsid w:val="58D93E43"/>
    <w:rsid w:val="58F969B3"/>
    <w:rsid w:val="599B5BC8"/>
    <w:rsid w:val="59D85025"/>
    <w:rsid w:val="59F76BA5"/>
    <w:rsid w:val="5A3C2928"/>
    <w:rsid w:val="5ABC3FCE"/>
    <w:rsid w:val="5AF521CF"/>
    <w:rsid w:val="5B270F22"/>
    <w:rsid w:val="5B303E60"/>
    <w:rsid w:val="5B503099"/>
    <w:rsid w:val="5B9B00DE"/>
    <w:rsid w:val="5BD17CDE"/>
    <w:rsid w:val="5BF87D6E"/>
    <w:rsid w:val="5C347596"/>
    <w:rsid w:val="5C4C2567"/>
    <w:rsid w:val="5C675260"/>
    <w:rsid w:val="5C6B4E4E"/>
    <w:rsid w:val="5C936412"/>
    <w:rsid w:val="5CA14C30"/>
    <w:rsid w:val="5D1317F2"/>
    <w:rsid w:val="5D4F1334"/>
    <w:rsid w:val="5E434D35"/>
    <w:rsid w:val="5E894A66"/>
    <w:rsid w:val="5F68012B"/>
    <w:rsid w:val="5FAE4825"/>
    <w:rsid w:val="60223AAD"/>
    <w:rsid w:val="60346682"/>
    <w:rsid w:val="608838AC"/>
    <w:rsid w:val="60A65B22"/>
    <w:rsid w:val="6112561F"/>
    <w:rsid w:val="624322C3"/>
    <w:rsid w:val="625A581B"/>
    <w:rsid w:val="626A2F2A"/>
    <w:rsid w:val="62F738BA"/>
    <w:rsid w:val="63501634"/>
    <w:rsid w:val="63A33DA7"/>
    <w:rsid w:val="63D91A10"/>
    <w:rsid w:val="63DA626B"/>
    <w:rsid w:val="640C3412"/>
    <w:rsid w:val="64376F4A"/>
    <w:rsid w:val="64A7510C"/>
    <w:rsid w:val="65765D05"/>
    <w:rsid w:val="66E30765"/>
    <w:rsid w:val="66E50C22"/>
    <w:rsid w:val="6796520F"/>
    <w:rsid w:val="679E1726"/>
    <w:rsid w:val="67A511F8"/>
    <w:rsid w:val="67E039DB"/>
    <w:rsid w:val="67F642DD"/>
    <w:rsid w:val="68A252C6"/>
    <w:rsid w:val="68A760BE"/>
    <w:rsid w:val="69171F44"/>
    <w:rsid w:val="692F675A"/>
    <w:rsid w:val="69576CE0"/>
    <w:rsid w:val="69716456"/>
    <w:rsid w:val="69892C3E"/>
    <w:rsid w:val="69E92EA6"/>
    <w:rsid w:val="6A723EDD"/>
    <w:rsid w:val="6AAF3D6F"/>
    <w:rsid w:val="6B11042D"/>
    <w:rsid w:val="6B226E9C"/>
    <w:rsid w:val="6B6D75F0"/>
    <w:rsid w:val="6BCC1EEF"/>
    <w:rsid w:val="6C45424B"/>
    <w:rsid w:val="6D017C44"/>
    <w:rsid w:val="6D676355"/>
    <w:rsid w:val="6DD00D30"/>
    <w:rsid w:val="6E197964"/>
    <w:rsid w:val="6E412128"/>
    <w:rsid w:val="6E8C7BB8"/>
    <w:rsid w:val="6EA77784"/>
    <w:rsid w:val="6F2668B5"/>
    <w:rsid w:val="6F3037DA"/>
    <w:rsid w:val="6FA35B27"/>
    <w:rsid w:val="6FB34393"/>
    <w:rsid w:val="6FF37B5D"/>
    <w:rsid w:val="700D4C36"/>
    <w:rsid w:val="70521A8C"/>
    <w:rsid w:val="706A6F04"/>
    <w:rsid w:val="70A67841"/>
    <w:rsid w:val="70E57378"/>
    <w:rsid w:val="713F18E5"/>
    <w:rsid w:val="71AC7FD7"/>
    <w:rsid w:val="71C73216"/>
    <w:rsid w:val="72482E83"/>
    <w:rsid w:val="7257582A"/>
    <w:rsid w:val="727B3A38"/>
    <w:rsid w:val="73050DDB"/>
    <w:rsid w:val="733137D2"/>
    <w:rsid w:val="733758BF"/>
    <w:rsid w:val="735C2436"/>
    <w:rsid w:val="73986FFB"/>
    <w:rsid w:val="73C95E54"/>
    <w:rsid w:val="742423C8"/>
    <w:rsid w:val="74641C79"/>
    <w:rsid w:val="74B470BC"/>
    <w:rsid w:val="74D312CE"/>
    <w:rsid w:val="75725D5A"/>
    <w:rsid w:val="75B0343E"/>
    <w:rsid w:val="760C4A9E"/>
    <w:rsid w:val="762527FE"/>
    <w:rsid w:val="76B35A84"/>
    <w:rsid w:val="76D2508E"/>
    <w:rsid w:val="76F27625"/>
    <w:rsid w:val="7730734F"/>
    <w:rsid w:val="77AB6044"/>
    <w:rsid w:val="77B546B6"/>
    <w:rsid w:val="788E3B87"/>
    <w:rsid w:val="78E85C4D"/>
    <w:rsid w:val="79AE06A2"/>
    <w:rsid w:val="7A124A7B"/>
    <w:rsid w:val="7A194374"/>
    <w:rsid w:val="7AF1202C"/>
    <w:rsid w:val="7AF20AC3"/>
    <w:rsid w:val="7B223CF2"/>
    <w:rsid w:val="7B5C599F"/>
    <w:rsid w:val="7B6E78DF"/>
    <w:rsid w:val="7B781225"/>
    <w:rsid w:val="7CFD1487"/>
    <w:rsid w:val="7D131E1F"/>
    <w:rsid w:val="7DB458C1"/>
    <w:rsid w:val="7DF04967"/>
    <w:rsid w:val="7E0B77B3"/>
    <w:rsid w:val="7E472066"/>
    <w:rsid w:val="7E6F6F2A"/>
    <w:rsid w:val="7E8114ED"/>
    <w:rsid w:val="7F3B70F9"/>
    <w:rsid w:val="7FA165A1"/>
    <w:rsid w:val="7FF51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widowControl/>
      <w:numPr>
        <w:ilvl w:val="0"/>
        <w:numId w:val="1"/>
      </w:numPr>
      <w:spacing w:line="240" w:lineRule="atLeast"/>
      <w:jc w:val="left"/>
      <w:outlineLvl w:val="0"/>
    </w:pPr>
    <w:rPr>
      <w:rFonts w:ascii="Arial" w:hAnsi="Arial"/>
      <w:b/>
      <w:spacing w:val="-5"/>
      <w:kern w:val="0"/>
      <w:sz w:val="40"/>
      <w:szCs w:val="20"/>
      <w:lang w:eastAsia="en-US"/>
    </w:rPr>
  </w:style>
  <w:style w:type="character" w:default="1" w:styleId="11">
    <w:name w:val="Default Paragraph Font"/>
    <w:unhideWhenUsed/>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annotation text"/>
    <w:basedOn w:val="1"/>
    <w:link w:val="14"/>
    <w:qFormat/>
    <w:uiPriority w:val="0"/>
    <w:pPr>
      <w:jc w:val="left"/>
    </w:p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widowControl/>
      <w:spacing w:before="102" w:after="102" w:line="1099" w:lineRule="atLeast"/>
      <w:ind w:firstLine="419"/>
      <w:jc w:val="left"/>
      <w:textAlignment w:val="baseline"/>
    </w:pPr>
    <w:rPr>
      <w:color w:val="000000"/>
      <w:kern w:val="0"/>
      <w:sz w:val="24"/>
      <w:u w:color="000000"/>
    </w:rPr>
  </w:style>
  <w:style w:type="paragraph" w:styleId="9">
    <w:name w:val="annotation subject"/>
    <w:basedOn w:val="4"/>
    <w:next w:val="4"/>
    <w:link w:val="15"/>
    <w:uiPriority w:val="0"/>
    <w:rPr>
      <w:b/>
      <w:bCs/>
    </w:rPr>
  </w:style>
  <w:style w:type="character" w:styleId="12">
    <w:name w:val="Hyperlink"/>
    <w:basedOn w:val="11"/>
    <w:unhideWhenUsed/>
    <w:qFormat/>
    <w:uiPriority w:val="99"/>
    <w:rPr>
      <w:color w:val="0563C1"/>
      <w:u w:val="single"/>
    </w:rPr>
  </w:style>
  <w:style w:type="character" w:styleId="13">
    <w:name w:val="annotation reference"/>
    <w:basedOn w:val="11"/>
    <w:qFormat/>
    <w:uiPriority w:val="0"/>
    <w:rPr>
      <w:sz w:val="21"/>
      <w:szCs w:val="21"/>
    </w:rPr>
  </w:style>
  <w:style w:type="character" w:customStyle="1" w:styleId="14">
    <w:name w:val="批注文字 字符"/>
    <w:link w:val="4"/>
    <w:qFormat/>
    <w:uiPriority w:val="0"/>
    <w:rPr>
      <w:kern w:val="2"/>
      <w:sz w:val="21"/>
    </w:rPr>
  </w:style>
  <w:style w:type="character" w:customStyle="1" w:styleId="15">
    <w:name w:val="批注主题 字符"/>
    <w:link w:val="9"/>
    <w:qFormat/>
    <w:uiPriority w:val="0"/>
    <w:rPr>
      <w:b/>
      <w:bCs/>
      <w:kern w:val="2"/>
      <w:sz w:val="21"/>
    </w:rPr>
  </w:style>
  <w:style w:type="paragraph" w:customStyle="1" w:styleId="16">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1420</Words>
  <Characters>8094</Characters>
  <Lines>67</Lines>
  <Paragraphs>18</Paragraphs>
  <TotalTime>0</TotalTime>
  <ScaleCrop>false</ScaleCrop>
  <LinksUpToDate>false</LinksUpToDate>
  <CharactersWithSpaces>9496</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2021-01-27T07:29:00Z</dcterms:created>
  <dc:creator>root</dc:creator>
  <cp:lastModifiedBy>钱哲贤</cp:lastModifiedBy>
  <cp:lastPrinted>2019-11-25T06:24:00Z</cp:lastPrinted>
  <dcterms:modified xsi:type="dcterms:W3CDTF">2021-02-22T00:54:46Z</dcterms:modified>
  <dc:title>银行打印栏</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